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right"/>
        <w:tblLayout w:type="fixed"/>
        <w:tblLook w:val="0000" w:firstRow="0" w:lastRow="0" w:firstColumn="0" w:lastColumn="0" w:noHBand="0" w:noVBand="0"/>
      </w:tblPr>
      <w:tblGrid>
        <w:gridCol w:w="6409"/>
        <w:gridCol w:w="18"/>
        <w:gridCol w:w="3285"/>
      </w:tblGrid>
      <w:tr w:rsidR="00214CED" w:rsidRPr="00100F71" w:rsidTr="002B17D7">
        <w:trPr>
          <w:cantSplit/>
          <w:trHeight w:val="718"/>
          <w:jc w:val="right"/>
        </w:trPr>
        <w:tc>
          <w:tcPr>
            <w:tcW w:w="6409" w:type="dxa"/>
            <w:tcBorders>
              <w:bottom w:val="single" w:sz="2" w:space="0" w:color="auto"/>
            </w:tcBorders>
          </w:tcPr>
          <w:p w:rsidR="00214CED" w:rsidRPr="00100F71" w:rsidRDefault="002E21AD" w:rsidP="00C72809">
            <w:pPr>
              <w:tabs>
                <w:tab w:val="left" w:pos="1247"/>
                <w:tab w:val="left" w:pos="1814"/>
                <w:tab w:val="left" w:pos="2381"/>
                <w:tab w:val="left" w:pos="2948"/>
                <w:tab w:val="left" w:pos="3515"/>
              </w:tabs>
              <w:spacing w:before="40" w:line="240" w:lineRule="auto"/>
              <w:rPr>
                <w:rFonts w:ascii="Times New Roman" w:hAnsi="Times New Roman"/>
                <w:sz w:val="20"/>
                <w:szCs w:val="20"/>
                <w:lang w:val="es-ES_tradnl"/>
              </w:rPr>
            </w:pPr>
            <w:r w:rsidRPr="00100F71">
              <w:rPr>
                <w:noProof/>
                <w:lang w:val="en-US"/>
              </w:rPr>
              <w:drawing>
                <wp:inline distT="0" distB="0" distL="0" distR="0" wp14:anchorId="22281F46" wp14:editId="78449552">
                  <wp:extent cx="1287780" cy="55626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7780" cy="556260"/>
                          </a:xfrm>
                          <a:prstGeom prst="rect">
                            <a:avLst/>
                          </a:prstGeom>
                          <a:noFill/>
                          <a:ln>
                            <a:noFill/>
                          </a:ln>
                        </pic:spPr>
                      </pic:pic>
                    </a:graphicData>
                  </a:graphic>
                </wp:inline>
              </w:drawing>
            </w:r>
          </w:p>
        </w:tc>
        <w:tc>
          <w:tcPr>
            <w:tcW w:w="3303" w:type="dxa"/>
            <w:gridSpan w:val="2"/>
            <w:tcBorders>
              <w:bottom w:val="single" w:sz="2" w:space="0" w:color="auto"/>
            </w:tcBorders>
            <w:vAlign w:val="bottom"/>
          </w:tcPr>
          <w:p w:rsidR="00214CED" w:rsidRPr="00100F71" w:rsidRDefault="00214CED" w:rsidP="00C72809">
            <w:pPr>
              <w:tabs>
                <w:tab w:val="left" w:pos="1247"/>
                <w:tab w:val="left" w:pos="1814"/>
                <w:tab w:val="left" w:pos="2381"/>
                <w:tab w:val="left" w:pos="2948"/>
                <w:tab w:val="left" w:pos="3515"/>
              </w:tabs>
              <w:spacing w:after="0" w:line="240" w:lineRule="auto"/>
              <w:rPr>
                <w:rFonts w:ascii="Times New Roman" w:hAnsi="Times New Roman"/>
                <w:sz w:val="20"/>
                <w:szCs w:val="20"/>
                <w:lang w:val="es-ES_tradnl"/>
              </w:rPr>
            </w:pPr>
            <w:r w:rsidRPr="00100F71">
              <w:rPr>
                <w:rFonts w:ascii="Times New Roman" w:eastAsia="Times New Roman" w:hAnsi="Times New Roman"/>
                <w:b/>
                <w:sz w:val="24"/>
                <w:szCs w:val="24"/>
                <w:lang w:val="es-ES_tradnl"/>
              </w:rPr>
              <w:t>SAICM</w:t>
            </w:r>
            <w:r w:rsidRPr="00100F71">
              <w:rPr>
                <w:rFonts w:ascii="Times New Roman" w:eastAsia="Times New Roman" w:hAnsi="Times New Roman"/>
                <w:sz w:val="20"/>
                <w:szCs w:val="20"/>
                <w:lang w:val="es-ES_tradnl"/>
              </w:rPr>
              <w:t>/ICCM.4/1/Add</w:t>
            </w:r>
            <w:r w:rsidR="00BE2E79" w:rsidRPr="00100F71">
              <w:rPr>
                <w:rFonts w:ascii="Times New Roman" w:eastAsia="Times New Roman" w:hAnsi="Times New Roman"/>
                <w:sz w:val="20"/>
                <w:szCs w:val="20"/>
                <w:lang w:val="es-ES_tradnl"/>
              </w:rPr>
              <w:t>.</w:t>
            </w:r>
            <w:r w:rsidRPr="00100F71">
              <w:rPr>
                <w:rFonts w:ascii="Times New Roman" w:eastAsia="Times New Roman" w:hAnsi="Times New Roman"/>
                <w:sz w:val="20"/>
                <w:szCs w:val="20"/>
                <w:lang w:val="es-ES_tradnl"/>
              </w:rPr>
              <w:t>1</w:t>
            </w:r>
          </w:p>
        </w:tc>
      </w:tr>
      <w:tr w:rsidR="00214CED" w:rsidRPr="00100F71" w:rsidTr="002B17D7">
        <w:trPr>
          <w:cantSplit/>
          <w:trHeight w:val="2275"/>
          <w:jc w:val="right"/>
        </w:trPr>
        <w:tc>
          <w:tcPr>
            <w:tcW w:w="6427" w:type="dxa"/>
            <w:gridSpan w:val="2"/>
            <w:tcBorders>
              <w:top w:val="single" w:sz="2" w:space="0" w:color="auto"/>
              <w:bottom w:val="single" w:sz="24" w:space="0" w:color="auto"/>
            </w:tcBorders>
            <w:vAlign w:val="center"/>
          </w:tcPr>
          <w:p w:rsidR="00214CED" w:rsidRPr="00100F71" w:rsidRDefault="002E21AD" w:rsidP="00C72809">
            <w:pPr>
              <w:tabs>
                <w:tab w:val="left" w:pos="1247"/>
                <w:tab w:val="left" w:pos="1814"/>
                <w:tab w:val="left" w:pos="2381"/>
                <w:tab w:val="left" w:pos="2948"/>
                <w:tab w:val="left" w:pos="3515"/>
              </w:tabs>
              <w:spacing w:after="0" w:line="240" w:lineRule="auto"/>
              <w:rPr>
                <w:rFonts w:ascii="Times New Roman" w:hAnsi="Times New Roman"/>
                <w:sz w:val="20"/>
                <w:szCs w:val="20"/>
                <w:lang w:val="es-ES_tradnl"/>
              </w:rPr>
            </w:pPr>
            <w:r w:rsidRPr="00100F71">
              <w:rPr>
                <w:noProof/>
                <w:lang w:val="en-US"/>
              </w:rPr>
              <w:drawing>
                <wp:inline distT="0" distB="0" distL="0" distR="0" wp14:anchorId="7A216345" wp14:editId="6DEA5143">
                  <wp:extent cx="2804160" cy="640080"/>
                  <wp:effectExtent l="0" t="0" r="0" b="762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r="10156" b="21611"/>
                          <a:stretch>
                            <a:fillRect/>
                          </a:stretch>
                        </pic:blipFill>
                        <pic:spPr bwMode="auto">
                          <a:xfrm>
                            <a:off x="0" y="0"/>
                            <a:ext cx="2804160" cy="640080"/>
                          </a:xfrm>
                          <a:prstGeom prst="rect">
                            <a:avLst/>
                          </a:prstGeom>
                          <a:noFill/>
                          <a:ln>
                            <a:noFill/>
                          </a:ln>
                        </pic:spPr>
                      </pic:pic>
                    </a:graphicData>
                  </a:graphic>
                </wp:inline>
              </w:drawing>
            </w:r>
          </w:p>
        </w:tc>
        <w:tc>
          <w:tcPr>
            <w:tcW w:w="3285" w:type="dxa"/>
            <w:tcBorders>
              <w:top w:val="single" w:sz="2" w:space="0" w:color="auto"/>
              <w:bottom w:val="single" w:sz="24" w:space="0" w:color="auto"/>
            </w:tcBorders>
          </w:tcPr>
          <w:p w:rsidR="00FE19A0" w:rsidRPr="00100F71" w:rsidRDefault="00FE19A0" w:rsidP="00C72809">
            <w:pPr>
              <w:pStyle w:val="Normal-pool"/>
              <w:tabs>
                <w:tab w:val="left" w:pos="4082"/>
              </w:tabs>
              <w:spacing w:before="120"/>
              <w:rPr>
                <w:rFonts w:eastAsia="Calibri"/>
                <w:lang w:val="es-ES_tradnl"/>
              </w:rPr>
            </w:pPr>
            <w:proofErr w:type="spellStart"/>
            <w:r w:rsidRPr="00100F71">
              <w:rPr>
                <w:rFonts w:eastAsia="Calibri"/>
                <w:lang w:val="es-ES_tradnl"/>
              </w:rPr>
              <w:t>Distr</w:t>
            </w:r>
            <w:proofErr w:type="spellEnd"/>
            <w:r w:rsidRPr="00100F71">
              <w:rPr>
                <w:rFonts w:eastAsia="Calibri"/>
                <w:lang w:val="es-ES_tradnl"/>
              </w:rPr>
              <w:t>. general</w:t>
            </w:r>
            <w:r w:rsidRPr="00100F71">
              <w:rPr>
                <w:rFonts w:eastAsia="Calibri"/>
                <w:lang w:val="es-ES_tradnl"/>
              </w:rPr>
              <w:br/>
              <w:t>1</w:t>
            </w:r>
            <w:r w:rsidR="00BE2E79" w:rsidRPr="00100F71">
              <w:rPr>
                <w:rFonts w:eastAsia="Calibri"/>
                <w:lang w:val="es-ES_tradnl"/>
              </w:rPr>
              <w:t>0</w:t>
            </w:r>
            <w:r w:rsidRPr="00100F71">
              <w:rPr>
                <w:rFonts w:eastAsia="Calibri"/>
                <w:lang w:val="es-ES_tradnl"/>
              </w:rPr>
              <w:t xml:space="preserve"> de </w:t>
            </w:r>
            <w:r w:rsidR="005671FE" w:rsidRPr="00100F71">
              <w:rPr>
                <w:rFonts w:eastAsia="Calibri"/>
                <w:lang w:val="es-ES_tradnl"/>
              </w:rPr>
              <w:t>julio</w:t>
            </w:r>
            <w:r w:rsidRPr="00100F71">
              <w:rPr>
                <w:rFonts w:eastAsia="Calibri"/>
                <w:lang w:val="es-ES_tradnl"/>
              </w:rPr>
              <w:t xml:space="preserve"> de 2015</w:t>
            </w:r>
          </w:p>
          <w:p w:rsidR="00214CED" w:rsidRPr="00100F71" w:rsidRDefault="00FE19A0" w:rsidP="00C72809">
            <w:pPr>
              <w:pStyle w:val="Normal-pool"/>
              <w:tabs>
                <w:tab w:val="left" w:pos="4082"/>
              </w:tabs>
              <w:spacing w:before="120"/>
              <w:rPr>
                <w:lang w:val="es-ES_tradnl"/>
              </w:rPr>
            </w:pPr>
            <w:r w:rsidRPr="00100F71">
              <w:rPr>
                <w:rFonts w:eastAsia="Calibri"/>
                <w:lang w:val="es-ES_tradnl"/>
              </w:rPr>
              <w:t>Español</w:t>
            </w:r>
            <w:r w:rsidRPr="00100F71">
              <w:rPr>
                <w:rFonts w:eastAsia="Calibri"/>
                <w:lang w:val="es-ES_tradnl"/>
              </w:rPr>
              <w:br/>
              <w:t>Original: inglés</w:t>
            </w:r>
          </w:p>
        </w:tc>
      </w:tr>
    </w:tbl>
    <w:p w:rsidR="00172628" w:rsidRPr="00100F71" w:rsidRDefault="00536CB4" w:rsidP="00C72809">
      <w:pPr>
        <w:pStyle w:val="AATitle"/>
        <w:ind w:right="2692"/>
        <w:rPr>
          <w:lang w:val="es-ES_tradnl"/>
        </w:rPr>
      </w:pPr>
      <w:r w:rsidRPr="00100F71">
        <w:rPr>
          <w:lang w:val="es-ES_tradnl"/>
        </w:rPr>
        <w:t>Conferencia Internacional sobre Gestión de los Productos</w:t>
      </w:r>
      <w:r w:rsidR="00172628" w:rsidRPr="00100F71">
        <w:rPr>
          <w:lang w:val="es-ES_tradnl"/>
        </w:rPr>
        <w:t xml:space="preserve"> </w:t>
      </w:r>
      <w:r w:rsidRPr="00100F71">
        <w:rPr>
          <w:lang w:val="es-ES_tradnl"/>
        </w:rPr>
        <w:t xml:space="preserve">Químicos </w:t>
      </w:r>
    </w:p>
    <w:p w:rsidR="00536CB4" w:rsidRPr="00100F71" w:rsidRDefault="00536CB4" w:rsidP="00C72809">
      <w:pPr>
        <w:pStyle w:val="AATitle"/>
        <w:rPr>
          <w:lang w:val="es-ES_tradnl"/>
        </w:rPr>
      </w:pPr>
      <w:r w:rsidRPr="00100F71">
        <w:rPr>
          <w:lang w:val="es-ES_tradnl"/>
        </w:rPr>
        <w:t>Cuarto período de sesiones</w:t>
      </w:r>
    </w:p>
    <w:p w:rsidR="00536CB4" w:rsidRPr="00100F71" w:rsidRDefault="00536CB4" w:rsidP="00C72809">
      <w:pPr>
        <w:pStyle w:val="AATitle"/>
        <w:keepNext w:val="0"/>
        <w:keepLines w:val="0"/>
        <w:tabs>
          <w:tab w:val="clear" w:pos="1814"/>
          <w:tab w:val="clear" w:pos="2381"/>
          <w:tab w:val="clear" w:pos="2948"/>
          <w:tab w:val="clear" w:pos="3515"/>
          <w:tab w:val="left" w:pos="624"/>
          <w:tab w:val="left" w:pos="1871"/>
          <w:tab w:val="left" w:pos="2495"/>
          <w:tab w:val="left" w:pos="3119"/>
          <w:tab w:val="left" w:pos="3742"/>
          <w:tab w:val="left" w:pos="4366"/>
        </w:tabs>
        <w:rPr>
          <w:b w:val="0"/>
          <w:lang w:val="es-ES_tradnl"/>
        </w:rPr>
      </w:pPr>
      <w:r w:rsidRPr="00100F71">
        <w:rPr>
          <w:b w:val="0"/>
          <w:lang w:val="es-ES_tradnl"/>
        </w:rPr>
        <w:t>Ginebra, 28 de septiembre a 2 de octubre de 2015</w:t>
      </w:r>
    </w:p>
    <w:p w:rsidR="00536CB4" w:rsidRPr="00100F71" w:rsidRDefault="00536CB4" w:rsidP="00C72809">
      <w:pPr>
        <w:pStyle w:val="BBTitle"/>
        <w:rPr>
          <w:lang w:val="es-ES_tradnl"/>
        </w:rPr>
      </w:pPr>
      <w:r w:rsidRPr="00100F71">
        <w:rPr>
          <w:lang w:val="es-ES_tradnl"/>
        </w:rPr>
        <w:t>Anotaciones al programa provisional</w:t>
      </w:r>
    </w:p>
    <w:p w:rsidR="00536CB4" w:rsidRPr="00100F71" w:rsidRDefault="00536CB4" w:rsidP="00C72809">
      <w:pPr>
        <w:pStyle w:val="CH2"/>
        <w:tabs>
          <w:tab w:val="clear" w:pos="851"/>
          <w:tab w:val="clear" w:pos="1247"/>
          <w:tab w:val="clear" w:pos="1814"/>
          <w:tab w:val="clear" w:pos="2381"/>
          <w:tab w:val="clear" w:pos="2948"/>
          <w:tab w:val="clear" w:pos="3515"/>
          <w:tab w:val="left" w:pos="624"/>
        </w:tabs>
        <w:spacing w:after="80"/>
        <w:ind w:left="1248" w:hanging="624"/>
        <w:outlineLvl w:val="0"/>
        <w:rPr>
          <w:lang w:val="es-ES_tradnl"/>
        </w:rPr>
      </w:pPr>
      <w:r w:rsidRPr="00100F71">
        <w:rPr>
          <w:lang w:val="es-ES_tradnl"/>
        </w:rPr>
        <w:t>Tema 1</w:t>
      </w:r>
    </w:p>
    <w:p w:rsidR="00536CB4" w:rsidRPr="00100F71" w:rsidRDefault="00536CB4" w:rsidP="00C72809">
      <w:pPr>
        <w:pStyle w:val="CH2"/>
        <w:tabs>
          <w:tab w:val="clear" w:pos="851"/>
          <w:tab w:val="clear" w:pos="1247"/>
          <w:tab w:val="clear" w:pos="1814"/>
          <w:tab w:val="clear" w:pos="2381"/>
          <w:tab w:val="clear" w:pos="2948"/>
          <w:tab w:val="clear" w:pos="3515"/>
          <w:tab w:val="left" w:pos="624"/>
        </w:tabs>
        <w:spacing w:after="80"/>
        <w:ind w:left="1248" w:hanging="624"/>
        <w:outlineLvl w:val="0"/>
        <w:rPr>
          <w:lang w:val="es-ES_tradnl"/>
        </w:rPr>
      </w:pPr>
      <w:r w:rsidRPr="00100F71">
        <w:rPr>
          <w:lang w:val="es-ES_tradnl"/>
        </w:rPr>
        <w:t>Apertura del período de sesiones</w:t>
      </w:r>
    </w:p>
    <w:p w:rsidR="0094377D" w:rsidRPr="00100F71" w:rsidRDefault="00536CB4" w:rsidP="00D27185">
      <w:pPr>
        <w:pStyle w:val="Normalnumber"/>
        <w:tabs>
          <w:tab w:val="clear" w:pos="567"/>
          <w:tab w:val="clear" w:pos="624"/>
          <w:tab w:val="clear" w:pos="1247"/>
        </w:tabs>
        <w:rPr>
          <w:lang w:val="es-ES_tradnl"/>
        </w:rPr>
      </w:pPr>
      <w:r w:rsidRPr="00100F71">
        <w:rPr>
          <w:lang w:val="es-ES_tradnl"/>
        </w:rPr>
        <w:t xml:space="preserve">El cuarto período de sesiones de la Conferencia Internacional sobre Gestión de los Productos Químicos se inaugurará a las 15.00 horas del lunes 28 de septiembre de 2015, en el Centro Internacional de Conferencias </w:t>
      </w:r>
      <w:r w:rsidR="00BE2E79" w:rsidRPr="00100F71">
        <w:rPr>
          <w:lang w:val="es-ES_tradnl"/>
        </w:rPr>
        <w:t xml:space="preserve">de </w:t>
      </w:r>
      <w:r w:rsidRPr="00100F71">
        <w:rPr>
          <w:lang w:val="es-ES_tradnl"/>
        </w:rPr>
        <w:t>Ginebra.</w:t>
      </w:r>
    </w:p>
    <w:p w:rsidR="00C71BA7" w:rsidRPr="00100F71" w:rsidRDefault="00C71BA7" w:rsidP="00C72809">
      <w:pPr>
        <w:pStyle w:val="Normalnumber"/>
        <w:tabs>
          <w:tab w:val="clear" w:pos="567"/>
        </w:tabs>
        <w:rPr>
          <w:lang w:val="es-ES_tradnl"/>
        </w:rPr>
      </w:pPr>
      <w:r w:rsidRPr="00100F71">
        <w:rPr>
          <w:lang w:val="es-ES_tradnl"/>
        </w:rPr>
        <w:t xml:space="preserve">Formularán </w:t>
      </w:r>
      <w:r w:rsidR="009603C3" w:rsidRPr="00100F71">
        <w:rPr>
          <w:lang w:val="es-ES_tradnl"/>
        </w:rPr>
        <w:t xml:space="preserve">los </w:t>
      </w:r>
      <w:r w:rsidRPr="00100F71">
        <w:rPr>
          <w:lang w:val="es-ES_tradnl"/>
        </w:rPr>
        <w:t xml:space="preserve">discursos de apertura el Presidente de la Conferencia y un representante del Programa de las </w:t>
      </w:r>
      <w:r w:rsidR="00A82CE5" w:rsidRPr="00100F71">
        <w:rPr>
          <w:lang w:val="es-ES_tradnl"/>
        </w:rPr>
        <w:t>Naciones Unidas</w:t>
      </w:r>
      <w:r w:rsidRPr="00100F71">
        <w:rPr>
          <w:lang w:val="es-ES_tradnl"/>
        </w:rPr>
        <w:t xml:space="preserve"> para el Medio Ambiente (PNUMA).</w:t>
      </w:r>
    </w:p>
    <w:p w:rsidR="00536CB4" w:rsidRPr="00100F71" w:rsidRDefault="00536CB4" w:rsidP="0084460A">
      <w:pPr>
        <w:pStyle w:val="CH2"/>
        <w:keepNext w:val="0"/>
        <w:keepLines w:val="0"/>
        <w:tabs>
          <w:tab w:val="clear" w:pos="851"/>
          <w:tab w:val="clear" w:pos="1247"/>
          <w:tab w:val="clear" w:pos="1814"/>
          <w:tab w:val="clear" w:pos="2381"/>
          <w:tab w:val="clear" w:pos="2948"/>
          <w:tab w:val="clear" w:pos="3515"/>
          <w:tab w:val="left" w:pos="624"/>
        </w:tabs>
        <w:spacing w:after="80"/>
        <w:ind w:left="1248" w:hanging="624"/>
        <w:outlineLvl w:val="0"/>
        <w:rPr>
          <w:lang w:val="es-ES_tradnl"/>
        </w:rPr>
      </w:pPr>
      <w:r w:rsidRPr="00100F71">
        <w:rPr>
          <w:lang w:val="es-ES_tradnl"/>
        </w:rPr>
        <w:t>Tema 2</w:t>
      </w:r>
    </w:p>
    <w:p w:rsidR="00536CB4" w:rsidRPr="00100F71" w:rsidRDefault="00536CB4" w:rsidP="0084460A">
      <w:pPr>
        <w:pStyle w:val="CH2"/>
        <w:keepNext w:val="0"/>
        <w:keepLines w:val="0"/>
        <w:tabs>
          <w:tab w:val="clear" w:pos="851"/>
          <w:tab w:val="clear" w:pos="1247"/>
          <w:tab w:val="clear" w:pos="1814"/>
          <w:tab w:val="clear" w:pos="2381"/>
          <w:tab w:val="clear" w:pos="2948"/>
          <w:tab w:val="clear" w:pos="3515"/>
          <w:tab w:val="left" w:pos="624"/>
        </w:tabs>
        <w:spacing w:after="80"/>
        <w:ind w:left="1248" w:hanging="624"/>
        <w:outlineLvl w:val="0"/>
        <w:rPr>
          <w:lang w:val="es-ES_tradnl"/>
        </w:rPr>
      </w:pPr>
      <w:r w:rsidRPr="00100F71">
        <w:rPr>
          <w:lang w:val="es-ES_tradnl"/>
        </w:rPr>
        <w:t>Cuestiones de organización</w:t>
      </w:r>
    </w:p>
    <w:p w:rsidR="00536CB4" w:rsidRPr="00100F71" w:rsidRDefault="0084460A" w:rsidP="0084460A">
      <w:pPr>
        <w:pStyle w:val="CH3"/>
        <w:keepNext w:val="0"/>
        <w:keepLines w:val="0"/>
        <w:rPr>
          <w:lang w:val="es-ES_tradnl"/>
        </w:rPr>
      </w:pPr>
      <w:r>
        <w:rPr>
          <w:lang w:val="es-ES_tradnl"/>
        </w:rPr>
        <w:tab/>
      </w:r>
      <w:r w:rsidR="006B781E" w:rsidRPr="00100F71">
        <w:rPr>
          <w:lang w:val="es-ES_tradnl"/>
        </w:rPr>
        <w:t>a)</w:t>
      </w:r>
      <w:r w:rsidR="00C721D4" w:rsidRPr="00100F71">
        <w:rPr>
          <w:lang w:val="es-ES_tradnl"/>
        </w:rPr>
        <w:tab/>
      </w:r>
      <w:r w:rsidR="006B781E" w:rsidRPr="00100F71">
        <w:rPr>
          <w:lang w:val="es-ES_tradnl"/>
        </w:rPr>
        <w:t>Elección de la Mesa</w:t>
      </w:r>
    </w:p>
    <w:p w:rsidR="00E65073" w:rsidRPr="00100F71" w:rsidRDefault="0084460A" w:rsidP="0084460A">
      <w:pPr>
        <w:pStyle w:val="CH4"/>
        <w:keepNext w:val="0"/>
        <w:keepLines w:val="0"/>
        <w:tabs>
          <w:tab w:val="clear" w:pos="1247"/>
          <w:tab w:val="clear" w:pos="1814"/>
          <w:tab w:val="left" w:pos="1276"/>
        </w:tabs>
        <w:rPr>
          <w:lang w:val="es-ES_tradnl"/>
        </w:rPr>
      </w:pPr>
      <w:r>
        <w:rPr>
          <w:lang w:val="es-ES_tradnl"/>
        </w:rPr>
        <w:tab/>
      </w:r>
      <w:r w:rsidR="006B781E" w:rsidRPr="00100F71">
        <w:rPr>
          <w:lang w:val="es-ES_tradnl"/>
        </w:rPr>
        <w:t>i)</w:t>
      </w:r>
      <w:r w:rsidR="009E09A8" w:rsidRPr="00100F71">
        <w:rPr>
          <w:lang w:val="es-ES_tradnl"/>
        </w:rPr>
        <w:tab/>
      </w:r>
      <w:r w:rsidR="009E09A8" w:rsidRPr="00100F71">
        <w:rPr>
          <w:lang w:val="es-ES_tradnl"/>
        </w:rPr>
        <w:tab/>
      </w:r>
      <w:r w:rsidR="006B781E" w:rsidRPr="00100F71">
        <w:rPr>
          <w:lang w:val="es-ES_tradnl"/>
        </w:rPr>
        <w:t>Mesa del quinto período de sesiones de la Co</w:t>
      </w:r>
      <w:r w:rsidR="002A46F1" w:rsidRPr="00100F71">
        <w:rPr>
          <w:lang w:val="es-ES_tradnl"/>
        </w:rPr>
        <w:t>nferencia Internacional sobre</w:t>
      </w:r>
      <w:r w:rsidR="006B781E" w:rsidRPr="00100F71">
        <w:rPr>
          <w:lang w:val="es-ES_tradnl"/>
        </w:rPr>
        <w:t xml:space="preserve"> Ge</w:t>
      </w:r>
      <w:r w:rsidR="005319F1" w:rsidRPr="00100F71">
        <w:rPr>
          <w:lang w:val="es-ES_tradnl"/>
        </w:rPr>
        <w:t>stión de los Productos Químicos</w:t>
      </w:r>
    </w:p>
    <w:p w:rsidR="00FC79D3" w:rsidRPr="00100F71" w:rsidRDefault="00536CB4" w:rsidP="00C72809">
      <w:pPr>
        <w:pStyle w:val="Normalnumber"/>
        <w:tabs>
          <w:tab w:val="clear" w:pos="567"/>
        </w:tabs>
        <w:rPr>
          <w:lang w:val="es-ES_tradnl"/>
        </w:rPr>
      </w:pPr>
      <w:r w:rsidRPr="00100F71">
        <w:rPr>
          <w:lang w:val="es-ES_tradnl"/>
        </w:rPr>
        <w:t>De conformidad con el párrafo</w:t>
      </w:r>
      <w:r w:rsidR="004064DF" w:rsidRPr="00100F71">
        <w:rPr>
          <w:lang w:val="es-ES_tradnl"/>
        </w:rPr>
        <w:t> </w:t>
      </w:r>
      <w:r w:rsidRPr="00100F71">
        <w:rPr>
          <w:lang w:val="es-ES_tradnl"/>
        </w:rPr>
        <w:t>2 de la regla</w:t>
      </w:r>
      <w:r w:rsidR="00897AA4" w:rsidRPr="00100F71">
        <w:rPr>
          <w:lang w:val="es-ES_tradnl"/>
        </w:rPr>
        <w:t> </w:t>
      </w:r>
      <w:r w:rsidRPr="00100F71">
        <w:rPr>
          <w:lang w:val="es-ES_tradnl"/>
        </w:rPr>
        <w:t>14 del reglamento,</w:t>
      </w:r>
      <w:r w:rsidR="0058238A" w:rsidRPr="00100F71">
        <w:rPr>
          <w:lang w:val="es-ES_tradnl"/>
        </w:rPr>
        <w:t xml:space="preserve"> hasta la clausura</w:t>
      </w:r>
      <w:r w:rsidR="00F07207" w:rsidRPr="00100F71">
        <w:rPr>
          <w:lang w:val="es-ES_tradnl"/>
        </w:rPr>
        <w:t xml:space="preserve"> del </w:t>
      </w:r>
      <w:r w:rsidR="00D27185">
        <w:rPr>
          <w:lang w:val="es-ES_tradnl"/>
        </w:rPr>
        <w:t>cuarto período de sesiones</w:t>
      </w:r>
      <w:r w:rsidRPr="00100F71">
        <w:rPr>
          <w:lang w:val="es-ES_tradnl"/>
        </w:rPr>
        <w:t xml:space="preserve"> </w:t>
      </w:r>
      <w:r w:rsidR="00F07207" w:rsidRPr="00100F71">
        <w:rPr>
          <w:lang w:val="es-ES_tradnl"/>
        </w:rPr>
        <w:t xml:space="preserve">de la Conferencia </w:t>
      </w:r>
      <w:r w:rsidR="00B53062" w:rsidRPr="00100F71">
        <w:rPr>
          <w:lang w:val="es-ES_tradnl"/>
        </w:rPr>
        <w:t xml:space="preserve">integrarán la Mesa de </w:t>
      </w:r>
      <w:r w:rsidR="00F07207" w:rsidRPr="00100F71">
        <w:rPr>
          <w:lang w:val="es-ES_tradnl"/>
        </w:rPr>
        <w:t>esta</w:t>
      </w:r>
      <w:r w:rsidR="0058238A" w:rsidRPr="00100F71">
        <w:rPr>
          <w:lang w:val="es-ES_tradnl"/>
        </w:rPr>
        <w:t xml:space="preserve"> </w:t>
      </w:r>
      <w:r w:rsidRPr="00100F71">
        <w:rPr>
          <w:lang w:val="es-ES_tradnl"/>
        </w:rPr>
        <w:t>el Presidente y los cuatro Vicepresidentes elegidos por la Conferencia en su tercer período de sesiones</w:t>
      </w:r>
      <w:r w:rsidRPr="00100F71">
        <w:rPr>
          <w:rStyle w:val="FootnoteReference"/>
          <w:lang w:val="es-ES_tradnl"/>
        </w:rPr>
        <w:footnoteReference w:id="2"/>
      </w:r>
      <w:r w:rsidRPr="00100F71">
        <w:rPr>
          <w:lang w:val="es-ES_tradnl"/>
        </w:rPr>
        <w:t>.</w:t>
      </w:r>
    </w:p>
    <w:p w:rsidR="00FC79D3" w:rsidRPr="00100F71" w:rsidRDefault="0094377D" w:rsidP="00C72809">
      <w:pPr>
        <w:pStyle w:val="Normalnumber"/>
        <w:tabs>
          <w:tab w:val="clear" w:pos="567"/>
        </w:tabs>
        <w:rPr>
          <w:lang w:val="es-ES_tradnl"/>
        </w:rPr>
      </w:pPr>
      <w:r w:rsidRPr="00100F71">
        <w:rPr>
          <w:lang w:val="es-ES_tradnl"/>
        </w:rPr>
        <w:t>Además, de conformidad con el párrafo</w:t>
      </w:r>
      <w:r w:rsidR="00897AA4" w:rsidRPr="00100F71">
        <w:rPr>
          <w:lang w:val="es-ES_tradnl"/>
        </w:rPr>
        <w:t> </w:t>
      </w:r>
      <w:r w:rsidRPr="00100F71">
        <w:rPr>
          <w:lang w:val="es-ES_tradnl"/>
        </w:rPr>
        <w:t>2 de la regla</w:t>
      </w:r>
      <w:r w:rsidR="00897AA4" w:rsidRPr="00100F71">
        <w:rPr>
          <w:lang w:val="es-ES_tradnl"/>
        </w:rPr>
        <w:t> </w:t>
      </w:r>
      <w:r w:rsidRPr="00100F71">
        <w:rPr>
          <w:lang w:val="es-ES_tradnl"/>
        </w:rPr>
        <w:t xml:space="preserve">14 del reglamento, habrá de elegirse </w:t>
      </w:r>
      <w:r w:rsidR="00E50F7F" w:rsidRPr="00100F71">
        <w:rPr>
          <w:lang w:val="es-ES_tradnl"/>
        </w:rPr>
        <w:t xml:space="preserve">a </w:t>
      </w:r>
      <w:r w:rsidRPr="00100F71">
        <w:rPr>
          <w:lang w:val="es-ES_tradnl"/>
        </w:rPr>
        <w:t>un nuevo Presidente y</w:t>
      </w:r>
      <w:r w:rsidR="00E50F7F" w:rsidRPr="00100F71">
        <w:rPr>
          <w:lang w:val="es-ES_tradnl"/>
        </w:rPr>
        <w:t xml:space="preserve"> a </w:t>
      </w:r>
      <w:r w:rsidRPr="00100F71">
        <w:rPr>
          <w:lang w:val="es-ES_tradnl"/>
        </w:rPr>
        <w:t>cuatro Vicepresidentes</w:t>
      </w:r>
      <w:r w:rsidR="00C1395A" w:rsidRPr="00100F71">
        <w:rPr>
          <w:lang w:val="es-ES_tradnl"/>
        </w:rPr>
        <w:t xml:space="preserve"> </w:t>
      </w:r>
      <w:r w:rsidR="00861751">
        <w:rPr>
          <w:lang w:val="es-ES_tradnl"/>
        </w:rPr>
        <w:t>–</w:t>
      </w:r>
      <w:r w:rsidRPr="00100F71">
        <w:rPr>
          <w:lang w:val="es-ES_tradnl"/>
        </w:rPr>
        <w:t>uno de los cuales actuará como Relator</w:t>
      </w:r>
      <w:r w:rsidR="00861751">
        <w:rPr>
          <w:lang w:val="es-ES_tradnl"/>
        </w:rPr>
        <w:t>–</w:t>
      </w:r>
      <w:r w:rsidRPr="00100F71">
        <w:rPr>
          <w:lang w:val="es-ES_tradnl"/>
        </w:rPr>
        <w:t xml:space="preserve"> por y de entre los representantes de los participantes gubernamentales para </w:t>
      </w:r>
      <w:r w:rsidR="00E50F7F" w:rsidRPr="00100F71">
        <w:rPr>
          <w:lang w:val="es-ES_tradnl"/>
        </w:rPr>
        <w:t>integrar</w:t>
      </w:r>
      <w:r w:rsidRPr="00100F71">
        <w:rPr>
          <w:lang w:val="es-ES_tradnl"/>
        </w:rPr>
        <w:t xml:space="preserve"> la Mesa hasta la clausura del quinto período de sesiones de la Conferencia. </w:t>
      </w:r>
      <w:r w:rsidR="00C843C6" w:rsidRPr="00100F71">
        <w:rPr>
          <w:lang w:val="es-ES_tradnl"/>
        </w:rPr>
        <w:t>E</w:t>
      </w:r>
      <w:r w:rsidRPr="00100F71">
        <w:rPr>
          <w:lang w:val="es-ES_tradnl"/>
        </w:rPr>
        <w:t>n el párrafo</w:t>
      </w:r>
      <w:r w:rsidR="00F44AAB" w:rsidRPr="00100F71">
        <w:rPr>
          <w:lang w:val="es-ES_tradnl"/>
        </w:rPr>
        <w:t> </w:t>
      </w:r>
      <w:r w:rsidRPr="00100F71">
        <w:rPr>
          <w:lang w:val="es-ES_tradnl"/>
        </w:rPr>
        <w:t>3 de</w:t>
      </w:r>
      <w:r w:rsidR="00BE2E79" w:rsidRPr="00100F71">
        <w:rPr>
          <w:lang w:val="es-ES_tradnl"/>
        </w:rPr>
        <w:t>l artículo</w:t>
      </w:r>
      <w:r w:rsidR="00F44AAB" w:rsidRPr="00100F71">
        <w:rPr>
          <w:lang w:val="es-ES_tradnl"/>
        </w:rPr>
        <w:t> </w:t>
      </w:r>
      <w:r w:rsidRPr="00100F71">
        <w:rPr>
          <w:lang w:val="es-ES_tradnl"/>
        </w:rPr>
        <w:t>14</w:t>
      </w:r>
      <w:r w:rsidR="00C843C6" w:rsidRPr="00100F71">
        <w:rPr>
          <w:lang w:val="es-ES_tradnl"/>
        </w:rPr>
        <w:t xml:space="preserve"> se establece que, al elegir la Mesa, </w:t>
      </w:r>
      <w:r w:rsidRPr="00100F71">
        <w:rPr>
          <w:lang w:val="es-ES_tradnl"/>
        </w:rPr>
        <w:t xml:space="preserve">los participantes gubernamentales tendrán debidamente en cuenta el principio de la representación geográfica equitativa. Por lo tanto, cada una de las cinco regiones de las </w:t>
      </w:r>
      <w:r w:rsidR="00A82CE5" w:rsidRPr="00100F71">
        <w:rPr>
          <w:lang w:val="es-ES_tradnl"/>
        </w:rPr>
        <w:t>Naciones Unidas</w:t>
      </w:r>
      <w:r w:rsidRPr="00100F71">
        <w:rPr>
          <w:lang w:val="es-ES_tradnl"/>
        </w:rPr>
        <w:t xml:space="preserve"> estará representada por un oficial </w:t>
      </w:r>
      <w:r w:rsidR="00903CB7" w:rsidRPr="00100F71">
        <w:rPr>
          <w:lang w:val="es-ES_tradnl"/>
        </w:rPr>
        <w:t>de</w:t>
      </w:r>
      <w:r w:rsidRPr="00100F71">
        <w:rPr>
          <w:lang w:val="es-ES_tradnl"/>
        </w:rPr>
        <w:t xml:space="preserve"> la Mesa.</w:t>
      </w:r>
    </w:p>
    <w:p w:rsidR="00536CB4" w:rsidRPr="00100F71" w:rsidRDefault="00536CB4" w:rsidP="00C72809">
      <w:pPr>
        <w:pStyle w:val="Normalnumber"/>
        <w:tabs>
          <w:tab w:val="clear" w:pos="567"/>
        </w:tabs>
        <w:rPr>
          <w:lang w:val="es-ES_tradnl"/>
        </w:rPr>
      </w:pPr>
      <w:r w:rsidRPr="00100F71">
        <w:rPr>
          <w:lang w:val="es-ES_tradnl"/>
        </w:rPr>
        <w:t xml:space="preserve">En consecuencia, se invita a la Conferencia a proceder a la elección de los miembros de la Mesa del quinto período de sesiones de la Conferencia, cuyo mandato comenzará </w:t>
      </w:r>
      <w:r w:rsidR="00CB5760" w:rsidRPr="00100F71">
        <w:rPr>
          <w:lang w:val="es-ES_tradnl"/>
        </w:rPr>
        <w:t>en</w:t>
      </w:r>
      <w:r w:rsidRPr="00100F71">
        <w:rPr>
          <w:lang w:val="es-ES_tradnl"/>
        </w:rPr>
        <w:t xml:space="preserve"> la clausura del cuarto período de sesiones.</w:t>
      </w:r>
    </w:p>
    <w:p w:rsidR="00E65073" w:rsidRPr="00100F71" w:rsidRDefault="0084460A" w:rsidP="0084460A">
      <w:pPr>
        <w:pStyle w:val="CH4"/>
        <w:keepNext w:val="0"/>
        <w:keepLines w:val="0"/>
        <w:tabs>
          <w:tab w:val="clear" w:pos="1247"/>
          <w:tab w:val="clear" w:pos="1814"/>
          <w:tab w:val="left" w:pos="1276"/>
        </w:tabs>
        <w:rPr>
          <w:lang w:val="es-ES_tradnl"/>
        </w:rPr>
      </w:pPr>
      <w:r>
        <w:rPr>
          <w:lang w:val="es-ES_tradnl"/>
        </w:rPr>
        <w:lastRenderedPageBreak/>
        <w:tab/>
      </w:r>
      <w:r w:rsidR="00C13BE6" w:rsidRPr="00100F71">
        <w:rPr>
          <w:lang w:val="es-ES_tradnl"/>
        </w:rPr>
        <w:t>ii)</w:t>
      </w:r>
      <w:r w:rsidR="009E09A8" w:rsidRPr="00100F71">
        <w:rPr>
          <w:lang w:val="es-ES_tradnl"/>
        </w:rPr>
        <w:tab/>
      </w:r>
      <w:r w:rsidR="006B781E" w:rsidRPr="00100F71">
        <w:rPr>
          <w:lang w:val="es-ES_tradnl"/>
        </w:rPr>
        <w:t xml:space="preserve">Junta Ejecutiva del Programa de </w:t>
      </w:r>
      <w:r w:rsidR="00BE2E79" w:rsidRPr="00100F71">
        <w:rPr>
          <w:lang w:val="es-ES_tradnl"/>
        </w:rPr>
        <w:t>I</w:t>
      </w:r>
      <w:r w:rsidR="006B781E" w:rsidRPr="00100F71">
        <w:rPr>
          <w:lang w:val="es-ES_tradnl"/>
        </w:rPr>
        <w:t xml:space="preserve">nicio </w:t>
      </w:r>
      <w:r w:rsidR="00BE2E79" w:rsidRPr="00100F71">
        <w:rPr>
          <w:lang w:val="es-ES_tradnl"/>
        </w:rPr>
        <w:t>R</w:t>
      </w:r>
      <w:r w:rsidR="006B781E" w:rsidRPr="00100F71">
        <w:rPr>
          <w:lang w:val="es-ES_tradnl"/>
        </w:rPr>
        <w:t>ápido</w:t>
      </w:r>
    </w:p>
    <w:p w:rsidR="00536CB4" w:rsidRPr="00100F71" w:rsidRDefault="00536CB4" w:rsidP="00C72809">
      <w:pPr>
        <w:pStyle w:val="Normalnumber"/>
        <w:tabs>
          <w:tab w:val="clear" w:pos="567"/>
        </w:tabs>
        <w:rPr>
          <w:lang w:val="es-ES_tradnl"/>
        </w:rPr>
      </w:pPr>
      <w:r w:rsidRPr="00100F71">
        <w:rPr>
          <w:lang w:val="es-ES_tradnl"/>
        </w:rPr>
        <w:t>De conformidad con el párrafo</w:t>
      </w:r>
      <w:r w:rsidR="00702640" w:rsidRPr="00100F71">
        <w:rPr>
          <w:lang w:val="es-ES_tradnl"/>
        </w:rPr>
        <w:t> </w:t>
      </w:r>
      <w:r w:rsidRPr="00100F71">
        <w:rPr>
          <w:lang w:val="es-ES_tradnl"/>
        </w:rPr>
        <w:t xml:space="preserve">1 </w:t>
      </w:r>
      <w:r w:rsidR="006536E9">
        <w:rPr>
          <w:lang w:val="es-ES_tradnl"/>
        </w:rPr>
        <w:t xml:space="preserve">a) </w:t>
      </w:r>
      <w:r w:rsidRPr="00100F71">
        <w:rPr>
          <w:lang w:val="es-ES_tradnl"/>
        </w:rPr>
        <w:t xml:space="preserve">del </w:t>
      </w:r>
      <w:r w:rsidR="00BE2E79" w:rsidRPr="00100F71">
        <w:rPr>
          <w:lang w:val="es-ES_tradnl"/>
        </w:rPr>
        <w:t xml:space="preserve">artículo 2 del </w:t>
      </w:r>
      <w:r w:rsidRPr="00100F71">
        <w:rPr>
          <w:lang w:val="es-ES_tradnl"/>
        </w:rPr>
        <w:t xml:space="preserve">reglamento de la Junta Ejecutiva del Programa de </w:t>
      </w:r>
      <w:r w:rsidR="00BE2E79" w:rsidRPr="00100F71">
        <w:rPr>
          <w:lang w:val="es-ES_tradnl"/>
        </w:rPr>
        <w:t>I</w:t>
      </w:r>
      <w:r w:rsidRPr="00100F71">
        <w:rPr>
          <w:lang w:val="es-ES_tradnl"/>
        </w:rPr>
        <w:t xml:space="preserve">nicio </w:t>
      </w:r>
      <w:r w:rsidR="00BE2E79" w:rsidRPr="00100F71">
        <w:rPr>
          <w:lang w:val="es-ES_tradnl"/>
        </w:rPr>
        <w:t>R</w:t>
      </w:r>
      <w:r w:rsidRPr="00100F71">
        <w:rPr>
          <w:lang w:val="es-ES_tradnl"/>
        </w:rPr>
        <w:t xml:space="preserve">ápido, la Conferencia designará a dos representantes </w:t>
      </w:r>
      <w:r w:rsidR="005357C7" w:rsidRPr="00100F71">
        <w:rPr>
          <w:lang w:val="es-ES_tradnl"/>
        </w:rPr>
        <w:t xml:space="preserve">de </w:t>
      </w:r>
      <w:r w:rsidR="00BA49AD" w:rsidRPr="00100F71">
        <w:rPr>
          <w:lang w:val="es-ES_tradnl"/>
        </w:rPr>
        <w:t xml:space="preserve">los </w:t>
      </w:r>
      <w:r w:rsidRPr="00100F71">
        <w:rPr>
          <w:lang w:val="es-ES_tradnl"/>
        </w:rPr>
        <w:t>g</w:t>
      </w:r>
      <w:r w:rsidR="005357C7" w:rsidRPr="00100F71">
        <w:rPr>
          <w:lang w:val="es-ES_tradnl"/>
        </w:rPr>
        <w:t>obiernos</w:t>
      </w:r>
      <w:r w:rsidR="00C1752C" w:rsidRPr="00100F71">
        <w:rPr>
          <w:lang w:val="es-ES_tradnl"/>
        </w:rPr>
        <w:t xml:space="preserve"> nacionales de cada una </w:t>
      </w:r>
      <w:r w:rsidRPr="00100F71">
        <w:rPr>
          <w:lang w:val="es-ES_tradnl"/>
        </w:rPr>
        <w:t xml:space="preserve">de las regiones de las </w:t>
      </w:r>
      <w:r w:rsidR="00A82CE5" w:rsidRPr="00100F71">
        <w:rPr>
          <w:lang w:val="es-ES_tradnl"/>
        </w:rPr>
        <w:t>Naciones Unidas</w:t>
      </w:r>
      <w:r w:rsidR="00C1752C" w:rsidRPr="00100F71">
        <w:rPr>
          <w:lang w:val="es-ES_tradnl"/>
        </w:rPr>
        <w:t xml:space="preserve"> para integrar</w:t>
      </w:r>
      <w:r w:rsidRPr="00100F71">
        <w:rPr>
          <w:lang w:val="es-ES_tradnl"/>
        </w:rPr>
        <w:t xml:space="preserve"> la Junta Ejecutiva</w:t>
      </w:r>
      <w:r w:rsidR="003D1724" w:rsidRPr="00100F71">
        <w:rPr>
          <w:lang w:val="es-ES_tradnl"/>
        </w:rPr>
        <w:t>,</w:t>
      </w:r>
      <w:r w:rsidRPr="00100F71">
        <w:rPr>
          <w:lang w:val="es-ES_tradnl"/>
        </w:rPr>
        <w:t xml:space="preserve"> hasta el siguiente período de sesiones de la Conferencia.</w:t>
      </w:r>
    </w:p>
    <w:p w:rsidR="00E228BB" w:rsidRPr="00100F71" w:rsidRDefault="00E228BB" w:rsidP="00C72809">
      <w:pPr>
        <w:pStyle w:val="Normalnumber"/>
        <w:tabs>
          <w:tab w:val="clear" w:pos="567"/>
        </w:tabs>
        <w:rPr>
          <w:lang w:val="es-ES_tradnl"/>
        </w:rPr>
      </w:pPr>
      <w:r w:rsidRPr="00100F71">
        <w:rPr>
          <w:lang w:val="es-ES_tradnl"/>
        </w:rPr>
        <w:t>En consecuencia, se invita a la Conferencia a proceder al nom</w:t>
      </w:r>
      <w:r w:rsidR="00C13BE6" w:rsidRPr="00100F71">
        <w:rPr>
          <w:lang w:val="es-ES_tradnl"/>
        </w:rPr>
        <w:t>bramiento de dos representantes </w:t>
      </w:r>
      <w:r w:rsidR="004C7324" w:rsidRPr="00100F71">
        <w:rPr>
          <w:lang w:val="es-ES_tradnl"/>
        </w:rPr>
        <w:t xml:space="preserve">de los gobiernos </w:t>
      </w:r>
      <w:r w:rsidRPr="00100F71">
        <w:rPr>
          <w:lang w:val="es-ES_tradnl"/>
        </w:rPr>
        <w:t xml:space="preserve">nacionales de cada una de las regiones de las </w:t>
      </w:r>
      <w:r w:rsidR="00A82CE5" w:rsidRPr="00100F71">
        <w:rPr>
          <w:lang w:val="es-ES_tradnl"/>
        </w:rPr>
        <w:t>Naciones Unidas</w:t>
      </w:r>
      <w:r w:rsidR="00C13BE6" w:rsidRPr="00100F71">
        <w:rPr>
          <w:lang w:val="es-ES_tradnl"/>
        </w:rPr>
        <w:t xml:space="preserve"> para la </w:t>
      </w:r>
      <w:r w:rsidRPr="00100F71">
        <w:rPr>
          <w:lang w:val="es-ES_tradnl"/>
        </w:rPr>
        <w:t>Junta Ejecutiva.</w:t>
      </w:r>
    </w:p>
    <w:p w:rsidR="00E61A5A" w:rsidRPr="00100F71" w:rsidRDefault="0084460A" w:rsidP="0084460A">
      <w:pPr>
        <w:pStyle w:val="CH4"/>
        <w:tabs>
          <w:tab w:val="clear" w:pos="1247"/>
          <w:tab w:val="clear" w:pos="1814"/>
          <w:tab w:val="left" w:pos="1276"/>
        </w:tabs>
        <w:rPr>
          <w:lang w:val="es-ES_tradnl"/>
        </w:rPr>
      </w:pPr>
      <w:r>
        <w:rPr>
          <w:lang w:val="es-ES_tradnl"/>
        </w:rPr>
        <w:tab/>
      </w:r>
      <w:r w:rsidR="006B781E" w:rsidRPr="00100F71">
        <w:rPr>
          <w:lang w:val="es-ES_tradnl"/>
        </w:rPr>
        <w:t>iii)</w:t>
      </w:r>
      <w:r w:rsidR="009E09A8" w:rsidRPr="00100F71">
        <w:rPr>
          <w:lang w:val="es-ES_tradnl"/>
        </w:rPr>
        <w:tab/>
      </w:r>
      <w:r w:rsidR="006B781E" w:rsidRPr="00100F71">
        <w:rPr>
          <w:lang w:val="es-ES_tradnl"/>
        </w:rPr>
        <w:t>Coordinadores regionales y representantes sectoriales</w:t>
      </w:r>
    </w:p>
    <w:p w:rsidR="00E228BB" w:rsidRPr="00100F71" w:rsidRDefault="00E228BB" w:rsidP="00100F71">
      <w:pPr>
        <w:pStyle w:val="Normalnumber"/>
        <w:tabs>
          <w:tab w:val="clear" w:pos="567"/>
          <w:tab w:val="clear" w:pos="624"/>
          <w:tab w:val="clear" w:pos="1247"/>
        </w:tabs>
        <w:rPr>
          <w:lang w:val="es-ES_tradnl"/>
        </w:rPr>
      </w:pPr>
      <w:r w:rsidRPr="00100F71">
        <w:rPr>
          <w:lang w:val="es-ES_tradnl"/>
        </w:rPr>
        <w:t>De acuerdo con el párrafo</w:t>
      </w:r>
      <w:r w:rsidR="00B23A7E" w:rsidRPr="00100F71">
        <w:rPr>
          <w:lang w:val="es-ES_tradnl"/>
        </w:rPr>
        <w:t> </w:t>
      </w:r>
      <w:r w:rsidRPr="00100F71">
        <w:rPr>
          <w:lang w:val="es-ES_tradnl"/>
        </w:rPr>
        <w:t>2 de la regla</w:t>
      </w:r>
      <w:r w:rsidR="00B23A7E" w:rsidRPr="00100F71">
        <w:rPr>
          <w:lang w:val="es-ES_tradnl"/>
        </w:rPr>
        <w:t> </w:t>
      </w:r>
      <w:r w:rsidRPr="00100F71">
        <w:rPr>
          <w:lang w:val="es-ES_tradnl"/>
        </w:rPr>
        <w:t>15 del reglamento de la Conferencia, el Presidente invitará a cuatro representantes de</w:t>
      </w:r>
      <w:r w:rsidR="00463CB9" w:rsidRPr="00100F71">
        <w:rPr>
          <w:lang w:val="es-ES_tradnl"/>
        </w:rPr>
        <w:t xml:space="preserve"> las</w:t>
      </w:r>
      <w:r w:rsidRPr="00100F71">
        <w:rPr>
          <w:lang w:val="es-ES_tradnl"/>
        </w:rPr>
        <w:t xml:space="preserve"> organizaciones no gubernamentales y a un representante del Programa Interinstitucional de Gestión Racional de los Productos Químicos a participar en los debates </w:t>
      </w:r>
      <w:r w:rsidR="0055156A" w:rsidRPr="00100F71">
        <w:rPr>
          <w:lang w:val="es-ES_tradnl"/>
        </w:rPr>
        <w:t>que se celebren durante</w:t>
      </w:r>
      <w:r w:rsidRPr="00100F71">
        <w:rPr>
          <w:lang w:val="es-ES_tradnl"/>
        </w:rPr>
        <w:t xml:space="preserve"> las reuniones de la Mesa, con el fin de proporcionar asesoramiento y respue</w:t>
      </w:r>
      <w:r w:rsidR="0055156A" w:rsidRPr="00100F71">
        <w:rPr>
          <w:lang w:val="es-ES_tradnl"/>
        </w:rPr>
        <w:t xml:space="preserve">stas a </w:t>
      </w:r>
      <w:r w:rsidR="00DE20D8" w:rsidRPr="00100F71">
        <w:rPr>
          <w:lang w:val="es-ES_tradnl"/>
        </w:rPr>
        <w:t>esta última</w:t>
      </w:r>
      <w:r w:rsidR="0055156A" w:rsidRPr="00100F71">
        <w:rPr>
          <w:lang w:val="es-ES_tradnl"/>
        </w:rPr>
        <w:t>, según proceda. Al</w:t>
      </w:r>
      <w:r w:rsidRPr="00100F71">
        <w:rPr>
          <w:lang w:val="es-ES_tradnl"/>
        </w:rPr>
        <w:t xml:space="preserve"> término de cada período de sesiones de la Conferencia, se elegirá a un representante de cada uno de los grupos de interés en </w:t>
      </w:r>
      <w:r w:rsidR="004355FD" w:rsidRPr="00100F71">
        <w:rPr>
          <w:lang w:val="es-ES_tradnl"/>
        </w:rPr>
        <w:t xml:space="preserve">los ámbitos de </w:t>
      </w:r>
      <w:r w:rsidRPr="00100F71">
        <w:rPr>
          <w:lang w:val="es-ES_tradnl"/>
        </w:rPr>
        <w:t xml:space="preserve">la salud, </w:t>
      </w:r>
      <w:r w:rsidR="004355FD" w:rsidRPr="00100F71">
        <w:rPr>
          <w:lang w:val="es-ES_tradnl"/>
        </w:rPr>
        <w:t>la industria</w:t>
      </w:r>
      <w:r w:rsidRPr="00100F71">
        <w:rPr>
          <w:lang w:val="es-ES_tradnl"/>
        </w:rPr>
        <w:t xml:space="preserve">, los sindicatos y </w:t>
      </w:r>
      <w:r w:rsidR="00FA59DB" w:rsidRPr="00100F71">
        <w:rPr>
          <w:lang w:val="es-ES_tradnl"/>
        </w:rPr>
        <w:t>lo</w:t>
      </w:r>
      <w:r w:rsidRPr="00100F71">
        <w:rPr>
          <w:lang w:val="es-ES_tradnl"/>
        </w:rPr>
        <w:t xml:space="preserve"> público de las organizaciones no gubernamentales, </w:t>
      </w:r>
      <w:r w:rsidR="00A44393" w:rsidRPr="00100F71">
        <w:rPr>
          <w:lang w:val="es-ES_tradnl"/>
        </w:rPr>
        <w:t>los cuales</w:t>
      </w:r>
      <w:r w:rsidRPr="00100F71">
        <w:rPr>
          <w:lang w:val="es-ES_tradnl"/>
        </w:rPr>
        <w:t xml:space="preserve"> permanecerán en sus funciones hasta el término del próximo período de sesiones. El Programa Interinstitucional de Gestión Racional de los Productos Químicos estará representado por el Presidente del Comité de Coordinación Interinstitucional.</w:t>
      </w:r>
    </w:p>
    <w:p w:rsidR="000B019B" w:rsidRPr="00100F71" w:rsidRDefault="000B019B" w:rsidP="00C72809">
      <w:pPr>
        <w:pStyle w:val="Normalnumber"/>
        <w:tabs>
          <w:tab w:val="clear" w:pos="567"/>
          <w:tab w:val="clear" w:pos="1247"/>
        </w:tabs>
        <w:rPr>
          <w:lang w:val="es-ES_tradnl"/>
        </w:rPr>
      </w:pPr>
      <w:r w:rsidRPr="00100F71">
        <w:rPr>
          <w:lang w:val="es-ES_tradnl"/>
        </w:rPr>
        <w:t xml:space="preserve">En consecuencia, se invita a </w:t>
      </w:r>
      <w:r w:rsidR="00091F40" w:rsidRPr="00100F71">
        <w:rPr>
          <w:lang w:val="es-ES_tradnl"/>
        </w:rPr>
        <w:t>cada grupo de interés</w:t>
      </w:r>
      <w:r w:rsidRPr="00100F71">
        <w:rPr>
          <w:lang w:val="es-ES_tradnl"/>
        </w:rPr>
        <w:t xml:space="preserve"> en </w:t>
      </w:r>
      <w:r w:rsidR="00091F40" w:rsidRPr="00100F71">
        <w:rPr>
          <w:lang w:val="es-ES_tradnl"/>
        </w:rPr>
        <w:t xml:space="preserve">los ámbitos de </w:t>
      </w:r>
      <w:r w:rsidRPr="00100F71">
        <w:rPr>
          <w:lang w:val="es-ES_tradnl"/>
        </w:rPr>
        <w:t xml:space="preserve">la salud, </w:t>
      </w:r>
      <w:r w:rsidR="00091F40" w:rsidRPr="00100F71">
        <w:rPr>
          <w:lang w:val="es-ES_tradnl"/>
        </w:rPr>
        <w:t>la industria</w:t>
      </w:r>
      <w:r w:rsidRPr="00100F71">
        <w:rPr>
          <w:lang w:val="es-ES_tradnl"/>
        </w:rPr>
        <w:t xml:space="preserve">, los sindicatos y </w:t>
      </w:r>
      <w:r w:rsidR="00FA59DB" w:rsidRPr="00100F71">
        <w:rPr>
          <w:lang w:val="es-ES_tradnl"/>
        </w:rPr>
        <w:t>lo</w:t>
      </w:r>
      <w:r w:rsidRPr="00100F71">
        <w:rPr>
          <w:lang w:val="es-ES_tradnl"/>
        </w:rPr>
        <w:t xml:space="preserve"> público de las organizaciones no gubernamentales a </w:t>
      </w:r>
      <w:r w:rsidR="00711482" w:rsidRPr="00100F71">
        <w:rPr>
          <w:lang w:val="es-ES_tradnl"/>
        </w:rPr>
        <w:t>designar</w:t>
      </w:r>
      <w:r w:rsidRPr="00100F71">
        <w:rPr>
          <w:lang w:val="es-ES_tradnl"/>
        </w:rPr>
        <w:t xml:space="preserve"> un representante, cuyo mandato comenzará en la clausura del cuarto período de sesiones, para participar en los debates </w:t>
      </w:r>
      <w:r w:rsidR="00634787" w:rsidRPr="00100F71">
        <w:rPr>
          <w:lang w:val="es-ES_tradnl"/>
        </w:rPr>
        <w:t>que se celebren durante</w:t>
      </w:r>
      <w:r w:rsidRPr="00100F71">
        <w:rPr>
          <w:lang w:val="es-ES_tradnl"/>
        </w:rPr>
        <w:t xml:space="preserve"> las reuniones de la Mesa.</w:t>
      </w:r>
    </w:p>
    <w:p w:rsidR="00EB31C8" w:rsidRPr="00100F71" w:rsidRDefault="00EB31C8" w:rsidP="00C72809">
      <w:pPr>
        <w:pStyle w:val="Normalnumber"/>
        <w:tabs>
          <w:tab w:val="clear" w:pos="567"/>
          <w:tab w:val="clear" w:pos="1247"/>
        </w:tabs>
        <w:rPr>
          <w:lang w:val="es-ES_tradnl"/>
        </w:rPr>
      </w:pPr>
      <w:r w:rsidRPr="00100F71">
        <w:rPr>
          <w:lang w:val="es-ES_tradnl"/>
        </w:rPr>
        <w:t>De conformidad con la resolución</w:t>
      </w:r>
      <w:r w:rsidR="0023085A" w:rsidRPr="00100F71">
        <w:rPr>
          <w:lang w:val="es-ES_tradnl"/>
        </w:rPr>
        <w:t> </w:t>
      </w:r>
      <w:r w:rsidRPr="00100F71">
        <w:rPr>
          <w:lang w:val="es-ES_tradnl"/>
        </w:rPr>
        <w:t xml:space="preserve">II/2, se alienta a los coordinadores regionales a que sigan desempeñando una función de facilitación en sus regiones, por ejemplo, realizando las actividades </w:t>
      </w:r>
      <w:r w:rsidR="00D63808" w:rsidRPr="00100F71">
        <w:rPr>
          <w:lang w:val="es-ES_tradnl"/>
        </w:rPr>
        <w:t>que se determinen en cada región, entre las que se incluyen</w:t>
      </w:r>
      <w:r w:rsidRPr="00100F71">
        <w:rPr>
          <w:lang w:val="es-ES_tradnl"/>
        </w:rPr>
        <w:t xml:space="preserve"> la presidencia de las reuniones regionales, la difusión de información de interés para los coordinadores </w:t>
      </w:r>
      <w:r w:rsidR="002634DC" w:rsidRPr="00100F71">
        <w:rPr>
          <w:lang w:val="es-ES_tradnl"/>
        </w:rPr>
        <w:t>de</w:t>
      </w:r>
      <w:r w:rsidRPr="00100F71">
        <w:rPr>
          <w:lang w:val="es-ES_tradnl"/>
        </w:rPr>
        <w:t xml:space="preserve"> su región, la reco</w:t>
      </w:r>
      <w:r w:rsidR="003F5134" w:rsidRPr="00100F71">
        <w:rPr>
          <w:lang w:val="es-ES_tradnl"/>
        </w:rPr>
        <w:t xml:space="preserve">gida </w:t>
      </w:r>
      <w:r w:rsidRPr="00100F71">
        <w:rPr>
          <w:lang w:val="es-ES_tradnl"/>
        </w:rPr>
        <w:t>de opiniones de los coordinadores nacionales del Enfoque Estratégico sobre cuest</w:t>
      </w:r>
      <w:r w:rsidR="00E16E92" w:rsidRPr="00100F71">
        <w:rPr>
          <w:lang w:val="es-ES_tradnl"/>
        </w:rPr>
        <w:t>iones de interés para la región</w:t>
      </w:r>
      <w:r w:rsidRPr="00100F71">
        <w:rPr>
          <w:lang w:val="es-ES_tradnl"/>
        </w:rPr>
        <w:t xml:space="preserve"> y la prestación de asistencia </w:t>
      </w:r>
      <w:r w:rsidR="00A864D4" w:rsidRPr="00100F71">
        <w:rPr>
          <w:lang w:val="es-ES_tradnl"/>
        </w:rPr>
        <w:t>para</w:t>
      </w:r>
      <w:r w:rsidR="00AB3565" w:rsidRPr="00100F71">
        <w:rPr>
          <w:lang w:val="es-ES_tradnl"/>
        </w:rPr>
        <w:t xml:space="preserve"> </w:t>
      </w:r>
      <w:r w:rsidR="00B83CC2" w:rsidRPr="00100F71">
        <w:rPr>
          <w:lang w:val="es-ES_tradnl"/>
        </w:rPr>
        <w:t>transmitir</w:t>
      </w:r>
      <w:r w:rsidRPr="00100F71">
        <w:rPr>
          <w:lang w:val="es-ES_tradnl"/>
        </w:rPr>
        <w:t xml:space="preserve"> información y opiniones de la región </w:t>
      </w:r>
      <w:r w:rsidR="00B83CC2" w:rsidRPr="00100F71">
        <w:rPr>
          <w:lang w:val="es-ES_tradnl"/>
        </w:rPr>
        <w:t>a</w:t>
      </w:r>
      <w:r w:rsidRPr="00100F71">
        <w:rPr>
          <w:lang w:val="es-ES_tradnl"/>
        </w:rPr>
        <w:t xml:space="preserve"> su miembro de la Mesa, según proceda.</w:t>
      </w:r>
    </w:p>
    <w:p w:rsidR="00EB31C8" w:rsidRPr="00100F71" w:rsidRDefault="00EB31C8" w:rsidP="00C72809">
      <w:pPr>
        <w:pStyle w:val="Normalnumber"/>
        <w:tabs>
          <w:tab w:val="clear" w:pos="567"/>
          <w:tab w:val="clear" w:pos="1247"/>
        </w:tabs>
        <w:rPr>
          <w:lang w:val="es-ES_tradnl"/>
        </w:rPr>
      </w:pPr>
      <w:r w:rsidRPr="00100F71">
        <w:rPr>
          <w:lang w:val="es-ES_tradnl"/>
        </w:rPr>
        <w:t>En consecuencia, se inv</w:t>
      </w:r>
      <w:r w:rsidR="00304795" w:rsidRPr="00100F71">
        <w:rPr>
          <w:lang w:val="es-ES_tradnl"/>
        </w:rPr>
        <w:t xml:space="preserve">ita a las regiones a designar a </w:t>
      </w:r>
      <w:r w:rsidRPr="00100F71">
        <w:rPr>
          <w:lang w:val="es-ES_tradnl"/>
        </w:rPr>
        <w:t xml:space="preserve">los coordinadores regionales, cuyo mandato comenzará en la clausura del cuarto período de sesiones, en apoyo de las actividades del Enfoque </w:t>
      </w:r>
      <w:r w:rsidR="009066E8" w:rsidRPr="00100F71">
        <w:rPr>
          <w:lang w:val="es-ES_tradnl"/>
        </w:rPr>
        <w:t>E</w:t>
      </w:r>
      <w:r w:rsidRPr="00100F71">
        <w:rPr>
          <w:lang w:val="es-ES_tradnl"/>
        </w:rPr>
        <w:t>stratégico.</w:t>
      </w:r>
    </w:p>
    <w:p w:rsidR="00DD305D" w:rsidRPr="00100F71" w:rsidRDefault="0084460A" w:rsidP="0084460A">
      <w:pPr>
        <w:pStyle w:val="CH3"/>
        <w:rPr>
          <w:lang w:val="es-ES_tradnl"/>
        </w:rPr>
      </w:pPr>
      <w:r>
        <w:rPr>
          <w:lang w:val="es-ES_tradnl"/>
        </w:rPr>
        <w:tab/>
      </w:r>
      <w:r w:rsidR="00657C2F" w:rsidRPr="00100F71">
        <w:rPr>
          <w:lang w:val="es-ES_tradnl"/>
        </w:rPr>
        <w:t>b</w:t>
      </w:r>
      <w:r w:rsidR="00C13BE6" w:rsidRPr="00100F71">
        <w:rPr>
          <w:lang w:val="es-ES_tradnl"/>
        </w:rPr>
        <w:t>)</w:t>
      </w:r>
      <w:r w:rsidR="00C70089" w:rsidRPr="00100F71">
        <w:rPr>
          <w:lang w:val="es-ES_tradnl"/>
        </w:rPr>
        <w:tab/>
      </w:r>
      <w:r w:rsidR="00DD305D" w:rsidRPr="00100F71">
        <w:rPr>
          <w:lang w:val="es-ES_tradnl"/>
        </w:rPr>
        <w:t>Aprobación del programa</w:t>
      </w:r>
    </w:p>
    <w:p w:rsidR="00DD305D" w:rsidRPr="00100F71" w:rsidRDefault="00DD305D" w:rsidP="00C72809">
      <w:pPr>
        <w:pStyle w:val="Normalnumber"/>
        <w:tabs>
          <w:tab w:val="clear" w:pos="567"/>
          <w:tab w:val="clear" w:pos="1247"/>
        </w:tabs>
        <w:rPr>
          <w:lang w:val="es-ES_tradnl"/>
        </w:rPr>
      </w:pPr>
      <w:r w:rsidRPr="00100F71">
        <w:rPr>
          <w:lang w:val="es-ES_tradnl"/>
        </w:rPr>
        <w:t xml:space="preserve">La Conferencia tal vez desee aprobar su programa sobre la base del programa provisional </w:t>
      </w:r>
      <w:r w:rsidR="00657C2F" w:rsidRPr="00100F71">
        <w:rPr>
          <w:lang w:val="es-ES_tradnl"/>
        </w:rPr>
        <w:t>(</w:t>
      </w:r>
      <w:r w:rsidRPr="00100F71">
        <w:rPr>
          <w:lang w:val="es-ES_tradnl"/>
        </w:rPr>
        <w:t>SAICM/ICCM.4/1</w:t>
      </w:r>
      <w:r w:rsidR="00657C2F" w:rsidRPr="00100F71">
        <w:rPr>
          <w:lang w:val="es-ES_tradnl"/>
        </w:rPr>
        <w:t>)</w:t>
      </w:r>
      <w:r w:rsidRPr="00100F71">
        <w:rPr>
          <w:lang w:val="es-ES_tradnl"/>
        </w:rPr>
        <w:t>.</w:t>
      </w:r>
    </w:p>
    <w:p w:rsidR="00DD305D" w:rsidRPr="00100F71" w:rsidRDefault="0084460A" w:rsidP="0084460A">
      <w:pPr>
        <w:pStyle w:val="CH3"/>
        <w:rPr>
          <w:lang w:val="es-ES_tradnl"/>
        </w:rPr>
      </w:pPr>
      <w:r>
        <w:rPr>
          <w:lang w:val="es-ES_tradnl"/>
        </w:rPr>
        <w:tab/>
      </w:r>
      <w:r w:rsidR="00657C2F" w:rsidRPr="00100F71">
        <w:rPr>
          <w:lang w:val="es-ES_tradnl"/>
        </w:rPr>
        <w:t>c</w:t>
      </w:r>
      <w:r w:rsidR="00C70089" w:rsidRPr="00100F71">
        <w:rPr>
          <w:lang w:val="es-ES_tradnl"/>
        </w:rPr>
        <w:t>)</w:t>
      </w:r>
      <w:r w:rsidR="00C70089" w:rsidRPr="00100F71">
        <w:rPr>
          <w:lang w:val="es-ES_tradnl"/>
        </w:rPr>
        <w:tab/>
      </w:r>
      <w:r w:rsidR="00DD305D" w:rsidRPr="00100F71">
        <w:rPr>
          <w:lang w:val="es-ES_tradnl"/>
        </w:rPr>
        <w:t>Organización de los trabajos</w:t>
      </w:r>
    </w:p>
    <w:p w:rsidR="00DD305D" w:rsidRPr="00100F71" w:rsidRDefault="00DD305D" w:rsidP="00C72809">
      <w:pPr>
        <w:pStyle w:val="Normalnumber"/>
        <w:tabs>
          <w:tab w:val="clear" w:pos="567"/>
          <w:tab w:val="clear" w:pos="1247"/>
        </w:tabs>
        <w:rPr>
          <w:lang w:val="es-ES_tradnl"/>
        </w:rPr>
      </w:pPr>
      <w:r w:rsidRPr="00100F71">
        <w:rPr>
          <w:lang w:val="es-ES_tradnl"/>
        </w:rPr>
        <w:t xml:space="preserve">El cuarto período de sesiones de la Conferencia será inaugurado el día lunes 28 de septiembre de 2015 a las 15.00 horas. La Conferencia tal vez desee reunirse en sesiones plenarias el día lunes 28 de septiembre de 15.00 a 18.00 horas. Tal vez desee también reunirse en sesiones plenarias desde el día martes 29 de septiembre al viernes 2 de octubre de 10.00 a 13.00 horas y de 15.00 a 18.00 horas. No se han previsto </w:t>
      </w:r>
      <w:r w:rsidR="005F4B30" w:rsidRPr="00100F71">
        <w:rPr>
          <w:lang w:val="es-ES_tradnl"/>
        </w:rPr>
        <w:t xml:space="preserve">reuniones </w:t>
      </w:r>
      <w:r w:rsidRPr="00100F71">
        <w:rPr>
          <w:lang w:val="es-ES_tradnl"/>
        </w:rPr>
        <w:t>vespertinas</w:t>
      </w:r>
      <w:r w:rsidR="005F4B30" w:rsidRPr="00100F71">
        <w:rPr>
          <w:lang w:val="es-ES_tradnl"/>
        </w:rPr>
        <w:t xml:space="preserve"> en el Plenario</w:t>
      </w:r>
      <w:r w:rsidRPr="00100F71">
        <w:rPr>
          <w:lang w:val="es-ES_tradnl"/>
        </w:rPr>
        <w:t>. La Conferencia tal vez desee crear grupos pequeños en el período de sesiones para abordar determinados temas del programa, según lo considere necesario, y para especificar sus mandatos.</w:t>
      </w:r>
    </w:p>
    <w:p w:rsidR="00DD305D" w:rsidRPr="00100F71" w:rsidRDefault="00DD305D" w:rsidP="00C72809">
      <w:pPr>
        <w:pStyle w:val="Normalnumber"/>
        <w:tabs>
          <w:tab w:val="clear" w:pos="567"/>
          <w:tab w:val="clear" w:pos="1247"/>
        </w:tabs>
        <w:rPr>
          <w:lang w:val="es-ES_tradnl"/>
        </w:rPr>
      </w:pPr>
      <w:r w:rsidRPr="00100F71">
        <w:rPr>
          <w:lang w:val="es-ES_tradnl"/>
        </w:rPr>
        <w:t>La se</w:t>
      </w:r>
      <w:r w:rsidR="00D27185">
        <w:rPr>
          <w:lang w:val="es-ES_tradnl"/>
        </w:rPr>
        <w:t>rie de sesiones</w:t>
      </w:r>
      <w:r w:rsidRPr="00100F71">
        <w:rPr>
          <w:lang w:val="es-ES_tradnl"/>
        </w:rPr>
        <w:t xml:space="preserve"> de alto nivel de la Conferencia se celebrará los días </w:t>
      </w:r>
      <w:r w:rsidR="00C70089" w:rsidRPr="00100F71">
        <w:rPr>
          <w:lang w:val="es-ES_tradnl"/>
        </w:rPr>
        <w:t>jueves 1 de octubre, de 15.00</w:t>
      </w:r>
      <w:r w:rsidR="00C13BE6" w:rsidRPr="00100F71">
        <w:rPr>
          <w:lang w:val="es-ES_tradnl"/>
        </w:rPr>
        <w:t xml:space="preserve"> horas</w:t>
      </w:r>
      <w:r w:rsidR="00C70089" w:rsidRPr="00100F71">
        <w:rPr>
          <w:lang w:val="es-ES_tradnl"/>
        </w:rPr>
        <w:t xml:space="preserve"> a </w:t>
      </w:r>
      <w:r w:rsidRPr="00100F71">
        <w:rPr>
          <w:lang w:val="es-ES_tradnl"/>
        </w:rPr>
        <w:t>18.00 horas, y viernes 2 de octubre, de 10.00</w:t>
      </w:r>
      <w:r w:rsidR="00C13BE6" w:rsidRPr="00100F71">
        <w:rPr>
          <w:lang w:val="es-ES_tradnl"/>
        </w:rPr>
        <w:t xml:space="preserve"> horas </w:t>
      </w:r>
      <w:r w:rsidRPr="00100F71">
        <w:rPr>
          <w:lang w:val="es-ES_tradnl"/>
        </w:rPr>
        <w:t>a 13.00 horas. Constará de dos discursos de apertura en sesión plenaria, de 15.00 a 16.00 horas</w:t>
      </w:r>
      <w:r w:rsidR="009066E8" w:rsidRPr="00100F71">
        <w:rPr>
          <w:lang w:val="es-ES_tradnl"/>
        </w:rPr>
        <w:t xml:space="preserve"> el 1 de octubre</w:t>
      </w:r>
      <w:r w:rsidRPr="00100F71">
        <w:rPr>
          <w:lang w:val="es-ES_tradnl"/>
        </w:rPr>
        <w:t>, seguidos de tres diálogos simultáneos del grupo de alto nivel, de 16.00</w:t>
      </w:r>
      <w:r w:rsidR="00C13BE6" w:rsidRPr="00100F71">
        <w:rPr>
          <w:lang w:val="es-ES_tradnl"/>
        </w:rPr>
        <w:t xml:space="preserve"> horas </w:t>
      </w:r>
      <w:r w:rsidRPr="00100F71">
        <w:rPr>
          <w:lang w:val="es-ES_tradnl"/>
        </w:rPr>
        <w:t>a 18.00 horas, el jueves 1 de octubre. Tendrá lugar un debate final del grupo de alto nivel en sesión plenaria el 2 de octubre, de 10.00</w:t>
      </w:r>
      <w:r w:rsidR="00C13BE6" w:rsidRPr="00100F71">
        <w:rPr>
          <w:lang w:val="es-ES_tradnl"/>
        </w:rPr>
        <w:t xml:space="preserve"> horas </w:t>
      </w:r>
      <w:r w:rsidR="006536E9">
        <w:rPr>
          <w:lang w:val="es-ES_tradnl"/>
        </w:rPr>
        <w:t>a </w:t>
      </w:r>
      <w:r w:rsidRPr="00100F71">
        <w:rPr>
          <w:lang w:val="es-ES_tradnl"/>
        </w:rPr>
        <w:t>13.00 horas, que incluirá los resultados de los diálogos del día anterior.</w:t>
      </w:r>
    </w:p>
    <w:p w:rsidR="00DD305D" w:rsidRPr="00100F71" w:rsidRDefault="00DD305D" w:rsidP="00C72809">
      <w:pPr>
        <w:pStyle w:val="CH2"/>
        <w:tabs>
          <w:tab w:val="clear" w:pos="851"/>
          <w:tab w:val="clear" w:pos="1247"/>
          <w:tab w:val="clear" w:pos="1814"/>
          <w:tab w:val="clear" w:pos="2381"/>
          <w:tab w:val="clear" w:pos="2948"/>
          <w:tab w:val="clear" w:pos="3515"/>
          <w:tab w:val="left" w:pos="624"/>
        </w:tabs>
        <w:spacing w:after="80"/>
        <w:ind w:left="1248" w:hanging="624"/>
        <w:outlineLvl w:val="0"/>
        <w:rPr>
          <w:lang w:val="es-ES_tradnl"/>
        </w:rPr>
      </w:pPr>
      <w:r w:rsidRPr="00100F71">
        <w:rPr>
          <w:lang w:val="es-ES_tradnl"/>
        </w:rPr>
        <w:t>Tema 3</w:t>
      </w:r>
    </w:p>
    <w:p w:rsidR="00DD305D" w:rsidRPr="00100F71" w:rsidRDefault="00DD305D" w:rsidP="00C72809">
      <w:pPr>
        <w:pStyle w:val="CH2"/>
        <w:tabs>
          <w:tab w:val="clear" w:pos="851"/>
          <w:tab w:val="clear" w:pos="1247"/>
          <w:tab w:val="clear" w:pos="1814"/>
          <w:tab w:val="clear" w:pos="2381"/>
          <w:tab w:val="clear" w:pos="2948"/>
          <w:tab w:val="clear" w:pos="3515"/>
          <w:tab w:val="left" w:pos="624"/>
        </w:tabs>
        <w:spacing w:after="80"/>
        <w:ind w:left="1248" w:hanging="624"/>
        <w:outlineLvl w:val="0"/>
        <w:rPr>
          <w:lang w:val="es-ES_tradnl"/>
        </w:rPr>
      </w:pPr>
      <w:r w:rsidRPr="00100F71">
        <w:rPr>
          <w:lang w:val="es-ES_tradnl"/>
        </w:rPr>
        <w:t>Representación, credenciales y acreditación</w:t>
      </w:r>
    </w:p>
    <w:p w:rsidR="00DD305D" w:rsidRPr="00100F71" w:rsidRDefault="00DD305D" w:rsidP="00C72809">
      <w:pPr>
        <w:pStyle w:val="Normalnumber"/>
        <w:tabs>
          <w:tab w:val="clear" w:pos="567"/>
          <w:tab w:val="clear" w:pos="1247"/>
        </w:tabs>
        <w:rPr>
          <w:lang w:val="es-ES_tradnl"/>
        </w:rPr>
      </w:pPr>
      <w:r w:rsidRPr="00100F71">
        <w:rPr>
          <w:lang w:val="es-ES_tradnl"/>
        </w:rPr>
        <w:t>En lo relativo a la participación de los gobiernos, tal como dispone el artículo 10 del reglamento, las credenciales de los representantes de los gobiernos participantes y los nombres de los suplentes y asesores deberán comunicarse a la secretaría de ser posible dentro de las 24 horas siguientes a la apertura del período de sesiones. Se comunicará también a la secretaría cualquier cambio ulterior en la composición de las delegaciones. En el caso de los representantes gubernamentales, las credenciales deberán ser expedidas por el Jefe de Estado o de Gobierno o por el ministro de relaciones exteriores y, en el caso de una organización de integración económica regional, deberá hacerlo la autoridad competente de dicha organización. Conforme al artículo 11 del reglamento, la Mesa examinará las credenciales y presentará su informe a la Conferencia.</w:t>
      </w:r>
    </w:p>
    <w:p w:rsidR="00DD305D" w:rsidRPr="00100F71" w:rsidRDefault="00DD305D" w:rsidP="00C72809">
      <w:pPr>
        <w:pStyle w:val="Normalnumber"/>
        <w:tabs>
          <w:tab w:val="clear" w:pos="567"/>
          <w:tab w:val="clear" w:pos="1247"/>
        </w:tabs>
        <w:rPr>
          <w:lang w:val="es-ES_tradnl"/>
        </w:rPr>
      </w:pPr>
      <w:r w:rsidRPr="00100F71">
        <w:rPr>
          <w:lang w:val="es-ES_tradnl"/>
        </w:rPr>
        <w:t>De acuerdo con el artículo 13 del reglamento, tanto los representantes intergubernamentales como los no gubernamentales deben estar debidamente acreditados.</w:t>
      </w:r>
    </w:p>
    <w:p w:rsidR="00DD305D" w:rsidRPr="00100F71" w:rsidRDefault="00DD305D" w:rsidP="00C72809">
      <w:pPr>
        <w:pStyle w:val="Normalnumber"/>
        <w:tabs>
          <w:tab w:val="clear" w:pos="567"/>
          <w:tab w:val="clear" w:pos="1247"/>
        </w:tabs>
        <w:rPr>
          <w:lang w:val="es-ES_tradnl"/>
        </w:rPr>
      </w:pPr>
      <w:r w:rsidRPr="00100F71">
        <w:rPr>
          <w:lang w:val="es-ES_tradnl"/>
        </w:rPr>
        <w:t>Con respecto a los participantes intergubernamentales, tal como dispone el reglamento en el párrafo 2 de su artículo 13, debe comunicarse a la secretaría el nombre del participante intergubernamental que desee ser acreditado, de ser posible dentro de las 24 horas siguientes a la apertura del período de sesiones. Un representante responsable de dicho participante también debe comunicar a la secretaría los nombres de quienes lo representan en la Conferencia. Se comunicará también a la Secretaría cualquier cambio ulterior en la lista de los nombres.</w:t>
      </w:r>
    </w:p>
    <w:p w:rsidR="00DD305D" w:rsidRPr="00100F71" w:rsidRDefault="00DD305D" w:rsidP="00C72809">
      <w:pPr>
        <w:pStyle w:val="Normalnumber"/>
        <w:tabs>
          <w:tab w:val="clear" w:pos="567"/>
          <w:tab w:val="clear" w:pos="1247"/>
        </w:tabs>
        <w:rPr>
          <w:lang w:val="es-ES_tradnl"/>
        </w:rPr>
      </w:pPr>
      <w:r w:rsidRPr="00100F71">
        <w:rPr>
          <w:lang w:val="es-ES_tradnl"/>
        </w:rPr>
        <w:t xml:space="preserve">En cuanto a los participantes no gubernamentales, conforme a lo dispuesto por el reglamento en el párrafo 3 de su artículo 13, debe comunicarse a la secretaría el nombre del participante no gubernamental que desee ser acreditado, de ser posible dentro de las 24 horas siguientes a la apertura del período de sesiones. Asimismo, un funcionario responsable de este participante deberá incluir una constancia en la que se describan las actividades, los conocimientos y las responsabilidades del participante y de qué forma se armonizan con el propósito y los objetivos del Enfoque </w:t>
      </w:r>
      <w:r w:rsidR="009066E8" w:rsidRPr="00100F71">
        <w:rPr>
          <w:lang w:val="es-ES_tradnl"/>
        </w:rPr>
        <w:t>E</w:t>
      </w:r>
      <w:r w:rsidRPr="00100F71">
        <w:rPr>
          <w:lang w:val="es-ES_tradnl"/>
        </w:rPr>
        <w:t>stratégico para la Gestión de los Productos Químicos a Nivel International, y debe comunicar a la secretaría los nombres de quienes lo representan en la Conferencia. Se comunicará también a la Secretaría cualquier cambio ulterior en la lista de los nombres. Una vez que la secretaría haya verificado la información recibida que antecede, se permitirá que el participante asista al período de sesiones, a menos que un tercio o más de los participantes gubernamentales lo impugne.</w:t>
      </w:r>
    </w:p>
    <w:p w:rsidR="00DD305D" w:rsidRPr="00100F71" w:rsidRDefault="00DD305D" w:rsidP="00C72809">
      <w:pPr>
        <w:pStyle w:val="Normalnumber"/>
        <w:tabs>
          <w:tab w:val="clear" w:pos="567"/>
          <w:tab w:val="clear" w:pos="1247"/>
        </w:tabs>
        <w:rPr>
          <w:lang w:val="es-ES_tradnl"/>
        </w:rPr>
      </w:pPr>
      <w:r w:rsidRPr="00100F71">
        <w:rPr>
          <w:lang w:val="es-ES_tradnl"/>
        </w:rPr>
        <w:t>En caso de presentar las credenciales en forma de copia o por fax, al momento de inscribirse en el período de sesiones deberán presentarse las credenciales originales</w:t>
      </w:r>
      <w:r w:rsidR="00C13BE6" w:rsidRPr="00100F71">
        <w:rPr>
          <w:lang w:val="es-ES_tradnl"/>
        </w:rPr>
        <w:t>. La pronta presentación de las </w:t>
      </w:r>
      <w:r w:rsidRPr="00100F71">
        <w:rPr>
          <w:lang w:val="es-ES_tradnl"/>
        </w:rPr>
        <w:t>credenciales con anterioridad al período de reuniones facil</w:t>
      </w:r>
      <w:r w:rsidR="00C13BE6" w:rsidRPr="00100F71">
        <w:rPr>
          <w:lang w:val="es-ES_tradnl"/>
        </w:rPr>
        <w:t>itará sobremanera el proceso de </w:t>
      </w:r>
      <w:r w:rsidRPr="00100F71">
        <w:rPr>
          <w:lang w:val="es-ES_tradnl"/>
        </w:rPr>
        <w:t>autorización.</w:t>
      </w:r>
    </w:p>
    <w:p w:rsidR="00DD305D" w:rsidRPr="00100F71" w:rsidRDefault="00DD305D" w:rsidP="00C13BE6">
      <w:pPr>
        <w:pStyle w:val="CH2"/>
        <w:tabs>
          <w:tab w:val="clear" w:pos="851"/>
          <w:tab w:val="clear" w:pos="1247"/>
          <w:tab w:val="clear" w:pos="1814"/>
          <w:tab w:val="clear" w:pos="2381"/>
          <w:tab w:val="clear" w:pos="2948"/>
          <w:tab w:val="clear" w:pos="3515"/>
        </w:tabs>
        <w:spacing w:after="80"/>
        <w:ind w:left="1248" w:hanging="624"/>
        <w:outlineLvl w:val="0"/>
        <w:rPr>
          <w:lang w:val="es-ES_tradnl"/>
        </w:rPr>
      </w:pPr>
      <w:r w:rsidRPr="00100F71">
        <w:rPr>
          <w:lang w:val="es-ES_tradnl"/>
        </w:rPr>
        <w:t>Tema 4</w:t>
      </w:r>
    </w:p>
    <w:p w:rsidR="00DD305D" w:rsidRPr="00100F71" w:rsidRDefault="00DD305D" w:rsidP="00C13BE6">
      <w:pPr>
        <w:pStyle w:val="CH2"/>
        <w:tabs>
          <w:tab w:val="clear" w:pos="851"/>
          <w:tab w:val="clear" w:pos="1814"/>
          <w:tab w:val="clear" w:pos="2381"/>
          <w:tab w:val="clear" w:pos="2948"/>
          <w:tab w:val="clear" w:pos="3515"/>
          <w:tab w:val="left" w:pos="624"/>
        </w:tabs>
        <w:spacing w:after="80"/>
        <w:ind w:left="624" w:right="340" w:firstLine="0"/>
        <w:outlineLvl w:val="0"/>
        <w:rPr>
          <w:lang w:val="es-ES_tradnl"/>
        </w:rPr>
      </w:pPr>
      <w:r w:rsidRPr="00100F71">
        <w:rPr>
          <w:lang w:val="es-ES_tradnl"/>
        </w:rPr>
        <w:t>Progresos y dificultades en la consecución de la meta de la gestión racional de los productos químicos para 2020</w:t>
      </w:r>
    </w:p>
    <w:p w:rsidR="00DD305D" w:rsidRPr="00100F71" w:rsidRDefault="00DD305D" w:rsidP="00C72809">
      <w:pPr>
        <w:pStyle w:val="Normalnumber"/>
        <w:tabs>
          <w:tab w:val="clear" w:pos="567"/>
          <w:tab w:val="clear" w:pos="1247"/>
        </w:tabs>
        <w:rPr>
          <w:lang w:val="es-ES_tradnl"/>
        </w:rPr>
      </w:pPr>
      <w:r w:rsidRPr="00100F71">
        <w:rPr>
          <w:lang w:val="es-ES_tradnl"/>
        </w:rPr>
        <w:t xml:space="preserve">El tema 4 del programa comprende tres subtemas relacionados con los progresos y las diferencias en la aplicación del Enfoque </w:t>
      </w:r>
      <w:r w:rsidR="009066E8" w:rsidRPr="00100F71">
        <w:rPr>
          <w:lang w:val="es-ES_tradnl"/>
        </w:rPr>
        <w:t>E</w:t>
      </w:r>
      <w:r w:rsidRPr="00100F71">
        <w:rPr>
          <w:lang w:val="es-ES_tradnl"/>
        </w:rPr>
        <w:t>stratégico: logros, puntos fuertes y desafíos regionales y sectoriales en el contexto de la labor encaminada a la consecución de lo</w:t>
      </w:r>
      <w:r w:rsidR="00100F71">
        <w:rPr>
          <w:lang w:val="es-ES_tradnl"/>
        </w:rPr>
        <w:t>s objetivos de la Estrategia de </w:t>
      </w:r>
      <w:r w:rsidRPr="00100F71">
        <w:rPr>
          <w:lang w:val="es-ES_tradnl"/>
        </w:rPr>
        <w:t xml:space="preserve">política global del Enfoque </w:t>
      </w:r>
      <w:r w:rsidR="009066E8" w:rsidRPr="00100F71">
        <w:rPr>
          <w:lang w:val="es-ES_tradnl"/>
        </w:rPr>
        <w:t>E</w:t>
      </w:r>
      <w:r w:rsidRPr="00100F71">
        <w:rPr>
          <w:lang w:val="es-ES_tradnl"/>
        </w:rPr>
        <w:t xml:space="preserve">stratégico; </w:t>
      </w:r>
      <w:r w:rsidR="009066E8" w:rsidRPr="00100F71">
        <w:rPr>
          <w:lang w:val="es-ES_tradnl"/>
        </w:rPr>
        <w:t>el i</w:t>
      </w:r>
      <w:r w:rsidRPr="00100F71">
        <w:rPr>
          <w:lang w:val="es-ES_tradnl"/>
        </w:rPr>
        <w:t xml:space="preserve">nforme del Programa de </w:t>
      </w:r>
      <w:r w:rsidR="00BE2E79" w:rsidRPr="00100F71">
        <w:rPr>
          <w:lang w:val="es-ES_tradnl"/>
        </w:rPr>
        <w:t>I</w:t>
      </w:r>
      <w:r w:rsidRPr="00100F71">
        <w:rPr>
          <w:lang w:val="es-ES_tradnl"/>
        </w:rPr>
        <w:t xml:space="preserve">nicio </w:t>
      </w:r>
      <w:r w:rsidR="00BE2E79" w:rsidRPr="00100F71">
        <w:rPr>
          <w:lang w:val="es-ES_tradnl"/>
        </w:rPr>
        <w:t>R</w:t>
      </w:r>
      <w:r w:rsidR="00100F71">
        <w:rPr>
          <w:lang w:val="es-ES_tradnl"/>
        </w:rPr>
        <w:t>ápido; y la gestión </w:t>
      </w:r>
      <w:r w:rsidRPr="00100F71">
        <w:rPr>
          <w:lang w:val="es-ES_tradnl"/>
        </w:rPr>
        <w:t>racional de los productos químicos y los desechos en el contexto</w:t>
      </w:r>
      <w:r w:rsidR="00100F71">
        <w:rPr>
          <w:lang w:val="es-ES_tradnl"/>
        </w:rPr>
        <w:t xml:space="preserve"> de los objetivos de desarrollo </w:t>
      </w:r>
      <w:r w:rsidRPr="00100F71">
        <w:rPr>
          <w:lang w:val="es-ES_tradnl"/>
        </w:rPr>
        <w:t>sostenible.</w:t>
      </w:r>
    </w:p>
    <w:p w:rsidR="00C72809" w:rsidRPr="00100F71" w:rsidRDefault="00C72809" w:rsidP="00C72809">
      <w:pPr>
        <w:pStyle w:val="CH3"/>
        <w:rPr>
          <w:lang w:val="es-ES_tradnl"/>
        </w:rPr>
      </w:pPr>
      <w:r w:rsidRPr="00100F71">
        <w:rPr>
          <w:lang w:val="es-ES_tradnl"/>
        </w:rPr>
        <w:tab/>
        <w:t>a)</w:t>
      </w:r>
      <w:r w:rsidRPr="00100F71">
        <w:rPr>
          <w:lang w:val="es-ES_tradnl"/>
        </w:rPr>
        <w:tab/>
        <w:t>Logros, puntos fuertes y desafíos regionales y sectoriales en el contexto de la labor encaminada a la consecución de los objetivos de la Estrategia de política global de</w:t>
      </w:r>
      <w:r w:rsidR="00C13BE6" w:rsidRPr="00100F71">
        <w:rPr>
          <w:lang w:val="es-ES_tradnl"/>
        </w:rPr>
        <w:t>l Enfoque </w:t>
      </w:r>
      <w:r w:rsidRPr="00100F71">
        <w:rPr>
          <w:lang w:val="es-ES_tradnl"/>
        </w:rPr>
        <w:t>Estratégico</w:t>
      </w:r>
    </w:p>
    <w:p w:rsidR="00C72809" w:rsidRPr="00100F71" w:rsidRDefault="00C72809" w:rsidP="00C72809">
      <w:pPr>
        <w:pStyle w:val="Normalnumber"/>
        <w:tabs>
          <w:tab w:val="clear" w:pos="567"/>
          <w:tab w:val="clear" w:pos="1247"/>
        </w:tabs>
        <w:rPr>
          <w:lang w:val="es-ES_tradnl"/>
        </w:rPr>
      </w:pPr>
      <w:r w:rsidRPr="00100F71">
        <w:rPr>
          <w:lang w:val="es-ES_tradnl"/>
        </w:rPr>
        <w:t>La participación de todos los interesados y sectores pertinentes, así como los procesos de aplicación transparentes, inclusivos y abiertos y la participación del público en los procesos de adopción de decisiones normativas y de otra índole relacionados con la seguridad de los productos químicos son fundamentales para el logro de los objetivos del Enfoque Estratégico. Se pedirá a los coordinadores regionales y representantes sectoriales que formulen declaraciones a la Conferencia resumiendo los logros, puntos fuertes y desafíos específicos en el contexto de la labor encaminada a alcanzar la meta de 2020 relativa a la aplicación del Enfoque Estratégico.</w:t>
      </w:r>
    </w:p>
    <w:p w:rsidR="00C72809" w:rsidRPr="00100F71" w:rsidRDefault="00C72809" w:rsidP="00C72809">
      <w:pPr>
        <w:pStyle w:val="Normalnumber"/>
        <w:tabs>
          <w:tab w:val="clear" w:pos="567"/>
          <w:tab w:val="clear" w:pos="1247"/>
        </w:tabs>
        <w:rPr>
          <w:lang w:val="es-ES_tradnl"/>
        </w:rPr>
      </w:pPr>
      <w:r w:rsidRPr="00100F71">
        <w:rPr>
          <w:lang w:val="es-ES_tradnl"/>
        </w:rPr>
        <w:t>Además, en su tercer período de sesiones, la Conferencia convino en que la Secretaría elaborara un segundo informe sobre los adelantos realizados en el período 2011‒2013, para someterlo al examen de la Conferencia en su cuarto período de sesiones.</w:t>
      </w:r>
    </w:p>
    <w:p w:rsidR="00C72809" w:rsidRPr="00100F71" w:rsidRDefault="00C72809" w:rsidP="00C72809">
      <w:pPr>
        <w:pStyle w:val="Normalnumber"/>
        <w:tabs>
          <w:tab w:val="clear" w:pos="567"/>
          <w:tab w:val="clear" w:pos="1247"/>
        </w:tabs>
        <w:rPr>
          <w:lang w:val="es-ES_tradnl"/>
        </w:rPr>
      </w:pPr>
      <w:r w:rsidRPr="00100F71">
        <w:rPr>
          <w:lang w:val="es-ES_tradnl"/>
        </w:rPr>
        <w:t>La Conferencia tiene a su disposición varios documentos en que figuran los logros, puntos fuertes y desafíos en el contexto de la labor encaminada a la consecución de los objetivos de la Estrategia de política global del Enfoque Estratégico:</w:t>
      </w:r>
    </w:p>
    <w:p w:rsidR="00C72809" w:rsidRPr="00100F71" w:rsidRDefault="00C72809" w:rsidP="00C72809">
      <w:pPr>
        <w:pStyle w:val="Normalnumber"/>
        <w:numPr>
          <w:ilvl w:val="1"/>
          <w:numId w:val="5"/>
        </w:numPr>
        <w:ind w:firstLine="624"/>
        <w:rPr>
          <w:lang w:val="es-ES_tradnl"/>
        </w:rPr>
      </w:pPr>
      <w:r w:rsidRPr="00100F71">
        <w:rPr>
          <w:lang w:val="es-ES_tradnl"/>
        </w:rPr>
        <w:t>Informe resumido sobre los progresos realizados en la aplicación del Enfoque Estratégico</w:t>
      </w:r>
      <w:r w:rsidR="009066E8" w:rsidRPr="00100F71">
        <w:rPr>
          <w:lang w:val="es-ES_tradnl"/>
        </w:rPr>
        <w:t xml:space="preserve"> para el período 2011</w:t>
      </w:r>
      <w:r w:rsidR="00DE639D" w:rsidRPr="00100F71">
        <w:rPr>
          <w:lang w:val="es-ES_tradnl"/>
        </w:rPr>
        <w:noBreakHyphen/>
      </w:r>
      <w:r w:rsidR="009066E8" w:rsidRPr="00100F71">
        <w:rPr>
          <w:lang w:val="es-ES_tradnl"/>
        </w:rPr>
        <w:t>2013</w:t>
      </w:r>
      <w:r w:rsidRPr="00100F71">
        <w:rPr>
          <w:lang w:val="es-ES_tradnl"/>
        </w:rPr>
        <w:t>, preparado por la Secretaría (véase SAICM/ICCM.4/3);</w:t>
      </w:r>
    </w:p>
    <w:p w:rsidR="00C72809" w:rsidRPr="00100F71" w:rsidRDefault="00116805" w:rsidP="00543920">
      <w:pPr>
        <w:pStyle w:val="Normalnumber"/>
        <w:numPr>
          <w:ilvl w:val="1"/>
          <w:numId w:val="5"/>
        </w:numPr>
        <w:tabs>
          <w:tab w:val="clear" w:pos="567"/>
          <w:tab w:val="clear" w:pos="624"/>
          <w:tab w:val="clear" w:pos="1247"/>
        </w:tabs>
        <w:ind w:firstLine="624"/>
        <w:rPr>
          <w:lang w:val="es-ES_tradnl"/>
        </w:rPr>
      </w:pPr>
      <w:proofErr w:type="spellStart"/>
      <w:r w:rsidRPr="00100F71">
        <w:rPr>
          <w:lang w:val="es-ES_tradnl"/>
        </w:rPr>
        <w:t>Summary</w:t>
      </w:r>
      <w:proofErr w:type="spellEnd"/>
      <w:r w:rsidRPr="00100F71">
        <w:rPr>
          <w:lang w:val="es-ES_tradnl"/>
        </w:rPr>
        <w:t xml:space="preserve"> of regional </w:t>
      </w:r>
      <w:proofErr w:type="spellStart"/>
      <w:r w:rsidRPr="00100F71">
        <w:rPr>
          <w:lang w:val="es-ES_tradnl"/>
        </w:rPr>
        <w:t>progress</w:t>
      </w:r>
      <w:proofErr w:type="spellEnd"/>
      <w:r w:rsidRPr="00100F71">
        <w:rPr>
          <w:lang w:val="es-ES_tradnl"/>
        </w:rPr>
        <w:t xml:space="preserve"> </w:t>
      </w:r>
      <w:proofErr w:type="spellStart"/>
      <w:r w:rsidRPr="00100F71">
        <w:rPr>
          <w:lang w:val="es-ES_tradnl"/>
        </w:rPr>
        <w:t>towards</w:t>
      </w:r>
      <w:proofErr w:type="spellEnd"/>
      <w:r w:rsidRPr="00100F71">
        <w:rPr>
          <w:lang w:val="es-ES_tradnl"/>
        </w:rPr>
        <w:t xml:space="preserve"> </w:t>
      </w:r>
      <w:proofErr w:type="spellStart"/>
      <w:r w:rsidRPr="00100F71">
        <w:rPr>
          <w:lang w:val="es-ES_tradnl"/>
        </w:rPr>
        <w:t>the</w:t>
      </w:r>
      <w:proofErr w:type="spellEnd"/>
      <w:r w:rsidRPr="00100F71">
        <w:rPr>
          <w:lang w:val="es-ES_tradnl"/>
        </w:rPr>
        <w:t xml:space="preserve"> 2020 </w:t>
      </w:r>
      <w:proofErr w:type="spellStart"/>
      <w:r w:rsidRPr="00100F71">
        <w:rPr>
          <w:lang w:val="es-ES_tradnl"/>
        </w:rPr>
        <w:t>goal</w:t>
      </w:r>
      <w:proofErr w:type="spellEnd"/>
      <w:r w:rsidRPr="00100F71">
        <w:rPr>
          <w:lang w:val="es-ES_tradnl"/>
        </w:rPr>
        <w:t xml:space="preserve"> (</w:t>
      </w:r>
      <w:r w:rsidR="00C72809" w:rsidRPr="00100F71">
        <w:rPr>
          <w:lang w:val="es-ES_tradnl"/>
        </w:rPr>
        <w:t>Resumen de los progresos realizados a nivel regional para alcanzar la meta de 2020</w:t>
      </w:r>
      <w:r w:rsidRPr="00100F71">
        <w:rPr>
          <w:lang w:val="es-ES_tradnl"/>
        </w:rPr>
        <w:t>)</w:t>
      </w:r>
      <w:r w:rsidR="00C72809" w:rsidRPr="00100F71">
        <w:rPr>
          <w:lang w:val="es-ES_tradnl"/>
        </w:rPr>
        <w:t xml:space="preserve"> (véase SAICM/ICCM.4/INF/1)</w:t>
      </w:r>
      <w:r w:rsidR="005F4B30" w:rsidRPr="00100F71">
        <w:rPr>
          <w:rStyle w:val="FootnoteReference"/>
          <w:lang w:val="es-ES_tradnl"/>
        </w:rPr>
        <w:footnoteReference w:id="3"/>
      </w:r>
      <w:r w:rsidR="00C72809" w:rsidRPr="00100F71">
        <w:rPr>
          <w:lang w:val="es-ES_tradnl"/>
        </w:rPr>
        <w:t>;</w:t>
      </w:r>
    </w:p>
    <w:p w:rsidR="00C72809" w:rsidRPr="00100F71" w:rsidRDefault="00116805" w:rsidP="00C72809">
      <w:pPr>
        <w:pStyle w:val="Normalnumber"/>
        <w:numPr>
          <w:ilvl w:val="1"/>
          <w:numId w:val="5"/>
        </w:numPr>
        <w:ind w:firstLine="624"/>
        <w:rPr>
          <w:lang w:val="es-ES_tradnl"/>
        </w:rPr>
      </w:pPr>
      <w:proofErr w:type="spellStart"/>
      <w:r w:rsidRPr="00100F71">
        <w:rPr>
          <w:lang w:val="es-ES_tradnl"/>
        </w:rPr>
        <w:t>Activities</w:t>
      </w:r>
      <w:proofErr w:type="spellEnd"/>
      <w:r w:rsidRPr="00100F71">
        <w:rPr>
          <w:lang w:val="es-ES_tradnl"/>
        </w:rPr>
        <w:t xml:space="preserve"> of </w:t>
      </w:r>
      <w:proofErr w:type="spellStart"/>
      <w:r w:rsidRPr="00100F71">
        <w:rPr>
          <w:lang w:val="es-ES_tradnl"/>
        </w:rPr>
        <w:t>the</w:t>
      </w:r>
      <w:proofErr w:type="spellEnd"/>
      <w:r w:rsidRPr="00100F71">
        <w:rPr>
          <w:lang w:val="es-ES_tradnl"/>
        </w:rPr>
        <w:t xml:space="preserve"> Inter-</w:t>
      </w:r>
      <w:proofErr w:type="spellStart"/>
      <w:r w:rsidRPr="00100F71">
        <w:rPr>
          <w:lang w:val="es-ES_tradnl"/>
        </w:rPr>
        <w:t>Organization</w:t>
      </w:r>
      <w:proofErr w:type="spellEnd"/>
      <w:r w:rsidRPr="00100F71">
        <w:rPr>
          <w:lang w:val="es-ES_tradnl"/>
        </w:rPr>
        <w:t xml:space="preserve"> </w:t>
      </w:r>
      <w:proofErr w:type="spellStart"/>
      <w:r w:rsidRPr="00100F71">
        <w:rPr>
          <w:lang w:val="es-ES_tradnl"/>
        </w:rPr>
        <w:t>Programme</w:t>
      </w:r>
      <w:proofErr w:type="spellEnd"/>
      <w:r w:rsidRPr="00100F71">
        <w:rPr>
          <w:lang w:val="es-ES_tradnl"/>
        </w:rPr>
        <w:t xml:space="preserve"> </w:t>
      </w:r>
      <w:proofErr w:type="spellStart"/>
      <w:r w:rsidRPr="00100F71">
        <w:rPr>
          <w:lang w:val="es-ES_tradnl"/>
        </w:rPr>
        <w:t>for</w:t>
      </w:r>
      <w:proofErr w:type="spellEnd"/>
      <w:r w:rsidRPr="00100F71">
        <w:rPr>
          <w:lang w:val="es-ES_tradnl"/>
        </w:rPr>
        <w:t xml:space="preserve"> </w:t>
      </w:r>
      <w:proofErr w:type="spellStart"/>
      <w:r w:rsidRPr="00100F71">
        <w:rPr>
          <w:lang w:val="es-ES_tradnl"/>
        </w:rPr>
        <w:t>the</w:t>
      </w:r>
      <w:proofErr w:type="spellEnd"/>
      <w:r w:rsidRPr="00100F71">
        <w:rPr>
          <w:lang w:val="es-ES_tradnl"/>
        </w:rPr>
        <w:t xml:space="preserve"> </w:t>
      </w:r>
      <w:proofErr w:type="spellStart"/>
      <w:r w:rsidRPr="00100F71">
        <w:rPr>
          <w:lang w:val="es-ES_tradnl"/>
        </w:rPr>
        <w:t>Sound</w:t>
      </w:r>
      <w:proofErr w:type="spellEnd"/>
      <w:r w:rsidRPr="00100F71">
        <w:rPr>
          <w:lang w:val="es-ES_tradnl"/>
        </w:rPr>
        <w:t xml:space="preserve"> Management of </w:t>
      </w:r>
      <w:proofErr w:type="spellStart"/>
      <w:r w:rsidRPr="00100F71">
        <w:rPr>
          <w:lang w:val="es-ES_tradnl"/>
        </w:rPr>
        <w:t>Chemicals</w:t>
      </w:r>
      <w:proofErr w:type="spellEnd"/>
      <w:r w:rsidRPr="00100F71">
        <w:rPr>
          <w:lang w:val="es-ES_tradnl"/>
        </w:rPr>
        <w:t xml:space="preserve"> </w:t>
      </w:r>
      <w:proofErr w:type="spellStart"/>
      <w:r w:rsidRPr="00100F71">
        <w:rPr>
          <w:lang w:val="es-ES_tradnl"/>
        </w:rPr>
        <w:t>to</w:t>
      </w:r>
      <w:proofErr w:type="spellEnd"/>
      <w:r w:rsidRPr="00100F71">
        <w:rPr>
          <w:lang w:val="es-ES_tradnl"/>
        </w:rPr>
        <w:t xml:space="preserve"> </w:t>
      </w:r>
      <w:proofErr w:type="spellStart"/>
      <w:r w:rsidRPr="00100F71">
        <w:rPr>
          <w:lang w:val="es-ES_tradnl"/>
        </w:rPr>
        <w:t>support</w:t>
      </w:r>
      <w:proofErr w:type="spellEnd"/>
      <w:r w:rsidRPr="00100F71">
        <w:rPr>
          <w:lang w:val="es-ES_tradnl"/>
        </w:rPr>
        <w:t xml:space="preserve"> </w:t>
      </w:r>
      <w:proofErr w:type="spellStart"/>
      <w:r w:rsidRPr="00100F71">
        <w:rPr>
          <w:lang w:val="es-ES_tradnl"/>
        </w:rPr>
        <w:t>implementation</w:t>
      </w:r>
      <w:proofErr w:type="spellEnd"/>
      <w:r w:rsidRPr="00100F71">
        <w:rPr>
          <w:lang w:val="es-ES_tradnl"/>
        </w:rPr>
        <w:t xml:space="preserve"> of </w:t>
      </w:r>
      <w:proofErr w:type="spellStart"/>
      <w:r w:rsidRPr="00100F71">
        <w:rPr>
          <w:lang w:val="es-ES_tradnl"/>
        </w:rPr>
        <w:t>the</w:t>
      </w:r>
      <w:proofErr w:type="spellEnd"/>
      <w:r w:rsidRPr="00100F71">
        <w:rPr>
          <w:lang w:val="es-ES_tradnl"/>
        </w:rPr>
        <w:t xml:space="preserve"> </w:t>
      </w:r>
      <w:proofErr w:type="spellStart"/>
      <w:r w:rsidRPr="00100F71">
        <w:rPr>
          <w:lang w:val="es-ES_tradnl"/>
        </w:rPr>
        <w:t>Strategic</w:t>
      </w:r>
      <w:proofErr w:type="spellEnd"/>
      <w:r w:rsidRPr="00100F71">
        <w:rPr>
          <w:lang w:val="es-ES_tradnl"/>
        </w:rPr>
        <w:t xml:space="preserve"> </w:t>
      </w:r>
      <w:proofErr w:type="spellStart"/>
      <w:r w:rsidRPr="00100F71">
        <w:rPr>
          <w:lang w:val="es-ES_tradnl"/>
        </w:rPr>
        <w:t>Approach</w:t>
      </w:r>
      <w:proofErr w:type="spellEnd"/>
      <w:r w:rsidRPr="00100F71">
        <w:rPr>
          <w:lang w:val="es-ES_tradnl"/>
        </w:rPr>
        <w:t xml:space="preserve"> (</w:t>
      </w:r>
      <w:r w:rsidR="00C72809" w:rsidRPr="00100F71">
        <w:rPr>
          <w:lang w:val="es-ES_tradnl"/>
        </w:rPr>
        <w:t>Actividades del Programa Interinstitucional de Gestión Racional de los Productos Químicos en apoyo de la aplicación del Enfoque Estratégico</w:t>
      </w:r>
      <w:r w:rsidRPr="00100F71">
        <w:rPr>
          <w:lang w:val="es-ES_tradnl"/>
        </w:rPr>
        <w:t>)</w:t>
      </w:r>
      <w:r w:rsidR="00C72809" w:rsidRPr="00100F71">
        <w:rPr>
          <w:lang w:val="es-ES_tradnl"/>
        </w:rPr>
        <w:t xml:space="preserve"> (véase SAICM/ICCM.4/INF/2);</w:t>
      </w:r>
    </w:p>
    <w:p w:rsidR="00C72809" w:rsidRPr="00F77BB3" w:rsidRDefault="00116805">
      <w:pPr>
        <w:pStyle w:val="Normalnumber"/>
        <w:numPr>
          <w:ilvl w:val="1"/>
          <w:numId w:val="5"/>
        </w:numPr>
        <w:ind w:firstLine="624"/>
        <w:rPr>
          <w:lang w:val="es-ES_tradnl"/>
        </w:rPr>
      </w:pPr>
      <w:proofErr w:type="spellStart"/>
      <w:r w:rsidRPr="00F77BB3">
        <w:rPr>
          <w:lang w:val="es-ES_tradnl"/>
        </w:rPr>
        <w:t>Report</w:t>
      </w:r>
      <w:proofErr w:type="spellEnd"/>
      <w:r w:rsidRPr="00F77BB3">
        <w:rPr>
          <w:lang w:val="es-ES_tradnl"/>
        </w:rPr>
        <w:t xml:space="preserve"> </w:t>
      </w:r>
      <w:proofErr w:type="spellStart"/>
      <w:r w:rsidRPr="00F77BB3">
        <w:rPr>
          <w:lang w:val="es-ES_tradnl"/>
        </w:rPr>
        <w:t>by</w:t>
      </w:r>
      <w:proofErr w:type="spellEnd"/>
      <w:r w:rsidRPr="00F77BB3">
        <w:rPr>
          <w:lang w:val="es-ES_tradnl"/>
        </w:rPr>
        <w:t xml:space="preserve"> </w:t>
      </w:r>
      <w:proofErr w:type="spellStart"/>
      <w:r w:rsidRPr="00F77BB3">
        <w:rPr>
          <w:lang w:val="es-ES_tradnl"/>
        </w:rPr>
        <w:t>the</w:t>
      </w:r>
      <w:proofErr w:type="spellEnd"/>
      <w:r w:rsidRPr="00F77BB3">
        <w:rPr>
          <w:lang w:val="es-ES_tradnl"/>
        </w:rPr>
        <w:t xml:space="preserve"> </w:t>
      </w:r>
      <w:proofErr w:type="spellStart"/>
      <w:r w:rsidRPr="00F77BB3">
        <w:rPr>
          <w:lang w:val="es-ES_tradnl"/>
        </w:rPr>
        <w:t>World</w:t>
      </w:r>
      <w:proofErr w:type="spellEnd"/>
      <w:r w:rsidRPr="00F77BB3">
        <w:rPr>
          <w:lang w:val="es-ES_tradnl"/>
        </w:rPr>
        <w:t xml:space="preserve"> </w:t>
      </w:r>
      <w:proofErr w:type="spellStart"/>
      <w:r w:rsidRPr="00F77BB3">
        <w:rPr>
          <w:lang w:val="es-ES_tradnl"/>
        </w:rPr>
        <w:t>Health</w:t>
      </w:r>
      <w:proofErr w:type="spellEnd"/>
      <w:r w:rsidRPr="00F77BB3">
        <w:rPr>
          <w:lang w:val="es-ES_tradnl"/>
        </w:rPr>
        <w:t xml:space="preserve"> </w:t>
      </w:r>
      <w:proofErr w:type="spellStart"/>
      <w:r w:rsidRPr="00F77BB3">
        <w:rPr>
          <w:lang w:val="es-ES_tradnl"/>
        </w:rPr>
        <w:t>Organization</w:t>
      </w:r>
      <w:proofErr w:type="spellEnd"/>
      <w:r w:rsidRPr="00F77BB3">
        <w:rPr>
          <w:lang w:val="es-ES_tradnl"/>
        </w:rPr>
        <w:t xml:space="preserve"> (WHO) </w:t>
      </w:r>
      <w:proofErr w:type="spellStart"/>
      <w:r w:rsidRPr="00F77BB3">
        <w:rPr>
          <w:lang w:val="es-ES_tradnl"/>
        </w:rPr>
        <w:t>on</w:t>
      </w:r>
      <w:proofErr w:type="spellEnd"/>
      <w:r w:rsidRPr="00F77BB3">
        <w:rPr>
          <w:lang w:val="es-ES_tradnl"/>
        </w:rPr>
        <w:t xml:space="preserve"> </w:t>
      </w:r>
      <w:proofErr w:type="spellStart"/>
      <w:r w:rsidRPr="00F77BB3">
        <w:rPr>
          <w:lang w:val="es-ES_tradnl"/>
        </w:rPr>
        <w:t>the</w:t>
      </w:r>
      <w:proofErr w:type="spellEnd"/>
      <w:r w:rsidRPr="00F77BB3">
        <w:rPr>
          <w:lang w:val="es-ES_tradnl"/>
        </w:rPr>
        <w:t xml:space="preserve"> </w:t>
      </w:r>
      <w:proofErr w:type="spellStart"/>
      <w:r w:rsidRPr="00F77BB3">
        <w:rPr>
          <w:lang w:val="es-ES_tradnl"/>
        </w:rPr>
        <w:t>engagement</w:t>
      </w:r>
      <w:proofErr w:type="spellEnd"/>
      <w:r w:rsidRPr="00F77BB3">
        <w:rPr>
          <w:lang w:val="es-ES_tradnl"/>
        </w:rPr>
        <w:t xml:space="preserve"> of </w:t>
      </w:r>
      <w:proofErr w:type="spellStart"/>
      <w:r w:rsidRPr="00F77BB3">
        <w:rPr>
          <w:lang w:val="es-ES_tradnl"/>
        </w:rPr>
        <w:t>the</w:t>
      </w:r>
      <w:proofErr w:type="spellEnd"/>
      <w:r w:rsidRPr="00F77BB3">
        <w:rPr>
          <w:lang w:val="es-ES_tradnl"/>
        </w:rPr>
        <w:t xml:space="preserve"> </w:t>
      </w:r>
      <w:proofErr w:type="spellStart"/>
      <w:r w:rsidRPr="00F77BB3">
        <w:rPr>
          <w:lang w:val="es-ES_tradnl"/>
        </w:rPr>
        <w:t>health</w:t>
      </w:r>
      <w:proofErr w:type="spellEnd"/>
      <w:r w:rsidRPr="00F77BB3">
        <w:rPr>
          <w:lang w:val="es-ES_tradnl"/>
        </w:rPr>
        <w:t xml:space="preserve"> sector in </w:t>
      </w:r>
      <w:proofErr w:type="spellStart"/>
      <w:r w:rsidRPr="00F77BB3">
        <w:rPr>
          <w:lang w:val="es-ES_tradnl"/>
        </w:rPr>
        <w:t>the</w:t>
      </w:r>
      <w:proofErr w:type="spellEnd"/>
      <w:r w:rsidRPr="00F77BB3">
        <w:rPr>
          <w:lang w:val="es-ES_tradnl"/>
        </w:rPr>
        <w:t xml:space="preserve"> </w:t>
      </w:r>
      <w:proofErr w:type="spellStart"/>
      <w:r w:rsidRPr="00F77BB3">
        <w:rPr>
          <w:lang w:val="es-ES_tradnl"/>
        </w:rPr>
        <w:t>Strategic</w:t>
      </w:r>
      <w:proofErr w:type="spellEnd"/>
      <w:r w:rsidRPr="00F77BB3">
        <w:rPr>
          <w:lang w:val="es-ES_tradnl"/>
        </w:rPr>
        <w:t xml:space="preserve"> </w:t>
      </w:r>
      <w:proofErr w:type="spellStart"/>
      <w:r w:rsidRPr="00F77BB3">
        <w:rPr>
          <w:lang w:val="es-ES_tradnl"/>
        </w:rPr>
        <w:t>Approach</w:t>
      </w:r>
      <w:proofErr w:type="spellEnd"/>
      <w:r w:rsidRPr="00F77BB3">
        <w:rPr>
          <w:lang w:val="es-ES_tradnl"/>
        </w:rPr>
        <w:t xml:space="preserve"> </w:t>
      </w:r>
      <w:proofErr w:type="spellStart"/>
      <w:r w:rsidRPr="00F77BB3">
        <w:rPr>
          <w:lang w:val="es-ES_tradnl"/>
        </w:rPr>
        <w:t>to</w:t>
      </w:r>
      <w:proofErr w:type="spellEnd"/>
      <w:r w:rsidRPr="00F77BB3">
        <w:rPr>
          <w:lang w:val="es-ES_tradnl"/>
        </w:rPr>
        <w:t xml:space="preserve"> International </w:t>
      </w:r>
      <w:proofErr w:type="spellStart"/>
      <w:r w:rsidRPr="00F77BB3">
        <w:rPr>
          <w:lang w:val="es-ES_tradnl"/>
        </w:rPr>
        <w:t>Chemicals</w:t>
      </w:r>
      <w:proofErr w:type="spellEnd"/>
      <w:r w:rsidRPr="00F77BB3">
        <w:rPr>
          <w:lang w:val="es-ES_tradnl"/>
        </w:rPr>
        <w:t xml:space="preserve"> Management</w:t>
      </w:r>
      <w:r w:rsidRPr="00F77BB3" w:rsidDel="005F4B30">
        <w:rPr>
          <w:lang w:val="es-ES_tradnl"/>
        </w:rPr>
        <w:t xml:space="preserve"> </w:t>
      </w:r>
      <w:r w:rsidRPr="00F77BB3">
        <w:rPr>
          <w:lang w:val="es-ES_tradnl"/>
        </w:rPr>
        <w:t xml:space="preserve">(Informe </w:t>
      </w:r>
      <w:r w:rsidR="00C72809" w:rsidRPr="00F77BB3">
        <w:rPr>
          <w:lang w:val="es-ES_tradnl"/>
        </w:rPr>
        <w:t xml:space="preserve">sobre la participación del sector </w:t>
      </w:r>
      <w:r w:rsidR="005F4B30" w:rsidRPr="00F77BB3">
        <w:rPr>
          <w:lang w:val="es-ES_tradnl"/>
        </w:rPr>
        <w:t xml:space="preserve">de la salud </w:t>
      </w:r>
      <w:r w:rsidR="00C72809" w:rsidRPr="00F77BB3">
        <w:rPr>
          <w:lang w:val="es-ES_tradnl"/>
        </w:rPr>
        <w:t xml:space="preserve">l en el Enfoque Estratégico </w:t>
      </w:r>
      <w:r w:rsidR="005F4B30" w:rsidRPr="00F77BB3">
        <w:rPr>
          <w:lang w:val="es-ES_tradnl"/>
        </w:rPr>
        <w:t>para la Gestión de los Productos Químicos a Nivel Internacional</w:t>
      </w:r>
      <w:r w:rsidRPr="00F77BB3">
        <w:rPr>
          <w:lang w:val="es-ES_tradnl"/>
        </w:rPr>
        <w:t>)</w:t>
      </w:r>
      <w:r w:rsidR="00C72809" w:rsidRPr="00F77BB3">
        <w:rPr>
          <w:lang w:val="es-ES_tradnl"/>
        </w:rPr>
        <w:t>(véase SAICM/ICCM.4/INF/</w:t>
      </w:r>
      <w:r w:rsidR="007E2FD9" w:rsidRPr="00F77BB3">
        <w:rPr>
          <w:lang w:val="es-ES_tradnl"/>
        </w:rPr>
        <w:t>3</w:t>
      </w:r>
      <w:r w:rsidR="00C72809" w:rsidRPr="00F77BB3">
        <w:rPr>
          <w:lang w:val="es-ES_tradnl"/>
        </w:rPr>
        <w:t>)</w:t>
      </w:r>
      <w:r w:rsidR="007E2FD9" w:rsidRPr="00F77BB3">
        <w:rPr>
          <w:lang w:val="es-ES_tradnl"/>
        </w:rPr>
        <w:t>;</w:t>
      </w:r>
    </w:p>
    <w:p w:rsidR="007E2FD9" w:rsidRPr="00100F71" w:rsidRDefault="00116805">
      <w:pPr>
        <w:pStyle w:val="Normalnumber"/>
        <w:numPr>
          <w:ilvl w:val="1"/>
          <w:numId w:val="5"/>
        </w:numPr>
        <w:ind w:firstLine="624"/>
        <w:rPr>
          <w:lang w:val="en-US"/>
        </w:rPr>
      </w:pPr>
      <w:r w:rsidRPr="00100F71">
        <w:rPr>
          <w:lang w:val="en-US"/>
        </w:rPr>
        <w:t>Summary of the trade union workshop on the Strategi</w:t>
      </w:r>
      <w:r w:rsidR="00100F71" w:rsidRPr="00100F71">
        <w:rPr>
          <w:lang w:val="en-US"/>
        </w:rPr>
        <w:t>c Approach held on 8 and 9 July </w:t>
      </w:r>
      <w:r w:rsidRPr="00100F71">
        <w:rPr>
          <w:lang w:val="en-US"/>
        </w:rPr>
        <w:t>2015 (</w:t>
      </w:r>
      <w:proofErr w:type="spellStart"/>
      <w:r w:rsidR="007E2FD9" w:rsidRPr="00100F71">
        <w:rPr>
          <w:lang w:val="en-US"/>
        </w:rPr>
        <w:t>Resumen</w:t>
      </w:r>
      <w:proofErr w:type="spellEnd"/>
      <w:r w:rsidR="007E2FD9" w:rsidRPr="00100F71">
        <w:rPr>
          <w:lang w:val="en-US"/>
        </w:rPr>
        <w:t xml:space="preserve"> del taller </w:t>
      </w:r>
      <w:proofErr w:type="spellStart"/>
      <w:r w:rsidR="007E2FD9" w:rsidRPr="00100F71">
        <w:rPr>
          <w:lang w:val="en-US"/>
        </w:rPr>
        <w:t>sindical</w:t>
      </w:r>
      <w:proofErr w:type="spellEnd"/>
      <w:r w:rsidR="007E2FD9" w:rsidRPr="00100F71">
        <w:rPr>
          <w:lang w:val="en-US"/>
        </w:rPr>
        <w:t xml:space="preserve"> </w:t>
      </w:r>
      <w:proofErr w:type="spellStart"/>
      <w:r w:rsidR="007E2FD9" w:rsidRPr="00100F71">
        <w:rPr>
          <w:lang w:val="en-US"/>
        </w:rPr>
        <w:t>sobre</w:t>
      </w:r>
      <w:proofErr w:type="spellEnd"/>
      <w:r w:rsidR="007E2FD9" w:rsidRPr="00100F71">
        <w:rPr>
          <w:lang w:val="en-US"/>
        </w:rPr>
        <w:t xml:space="preserve"> el </w:t>
      </w:r>
      <w:proofErr w:type="spellStart"/>
      <w:r w:rsidR="007E2FD9" w:rsidRPr="00100F71">
        <w:rPr>
          <w:lang w:val="en-US"/>
        </w:rPr>
        <w:t>Enfoque</w:t>
      </w:r>
      <w:proofErr w:type="spellEnd"/>
      <w:r w:rsidR="007E2FD9" w:rsidRPr="00100F71">
        <w:rPr>
          <w:lang w:val="en-US"/>
        </w:rPr>
        <w:t xml:space="preserve"> </w:t>
      </w:r>
      <w:proofErr w:type="spellStart"/>
      <w:r w:rsidR="007E2FD9" w:rsidRPr="00100F71">
        <w:rPr>
          <w:lang w:val="en-US"/>
        </w:rPr>
        <w:t>Estratégico</w:t>
      </w:r>
      <w:proofErr w:type="spellEnd"/>
      <w:r w:rsidR="007E2FD9" w:rsidRPr="00100F71">
        <w:rPr>
          <w:lang w:val="en-US"/>
        </w:rPr>
        <w:t xml:space="preserve"> </w:t>
      </w:r>
      <w:proofErr w:type="spellStart"/>
      <w:r w:rsidR="007E2FD9" w:rsidRPr="00100F71">
        <w:rPr>
          <w:lang w:val="en-US"/>
        </w:rPr>
        <w:t>celebrado</w:t>
      </w:r>
      <w:proofErr w:type="spellEnd"/>
      <w:r w:rsidR="007E2FD9" w:rsidRPr="00100F71">
        <w:rPr>
          <w:lang w:val="en-US"/>
        </w:rPr>
        <w:t xml:space="preserve"> los </w:t>
      </w:r>
      <w:proofErr w:type="spellStart"/>
      <w:r w:rsidR="007E2FD9" w:rsidRPr="00100F71">
        <w:rPr>
          <w:lang w:val="en-US"/>
        </w:rPr>
        <w:t>días</w:t>
      </w:r>
      <w:proofErr w:type="spellEnd"/>
      <w:r w:rsidR="007E2FD9" w:rsidRPr="00100F71">
        <w:rPr>
          <w:lang w:val="en-US"/>
        </w:rPr>
        <w:t xml:space="preserve"> 8 y 9 de </w:t>
      </w:r>
      <w:proofErr w:type="spellStart"/>
      <w:r w:rsidR="007E2FD9" w:rsidRPr="00100F71">
        <w:rPr>
          <w:lang w:val="en-US"/>
        </w:rPr>
        <w:t>julio</w:t>
      </w:r>
      <w:proofErr w:type="spellEnd"/>
      <w:r w:rsidR="007E2FD9" w:rsidRPr="00100F71">
        <w:rPr>
          <w:lang w:val="en-US"/>
        </w:rPr>
        <w:t xml:space="preserve"> de 2015</w:t>
      </w:r>
      <w:r w:rsidRPr="00100F71">
        <w:rPr>
          <w:lang w:val="en-US"/>
        </w:rPr>
        <w:t>)</w:t>
      </w:r>
      <w:r w:rsidR="007E2FD9" w:rsidRPr="00100F71">
        <w:rPr>
          <w:lang w:val="en-US"/>
        </w:rPr>
        <w:t xml:space="preserve"> (</w:t>
      </w:r>
      <w:proofErr w:type="spellStart"/>
      <w:r w:rsidR="007E2FD9" w:rsidRPr="00100F71">
        <w:rPr>
          <w:lang w:val="en-US"/>
        </w:rPr>
        <w:t>véase</w:t>
      </w:r>
      <w:proofErr w:type="spellEnd"/>
      <w:r w:rsidR="007E2FD9" w:rsidRPr="00100F71">
        <w:rPr>
          <w:lang w:val="en-US"/>
        </w:rPr>
        <w:t> SAICM/ICCM.4/INF/4);</w:t>
      </w:r>
    </w:p>
    <w:p w:rsidR="007E2FD9" w:rsidRPr="00D27185" w:rsidRDefault="00116805">
      <w:pPr>
        <w:pStyle w:val="Normalnumber"/>
        <w:numPr>
          <w:ilvl w:val="1"/>
          <w:numId w:val="5"/>
        </w:numPr>
        <w:ind w:firstLine="624"/>
        <w:rPr>
          <w:lang w:val="en-US"/>
        </w:rPr>
      </w:pPr>
      <w:r w:rsidRPr="00D27185">
        <w:rPr>
          <w:lang w:val="en-US"/>
        </w:rPr>
        <w:t>Cooperation and coordination between the secretariats of the Basel, Rotterdam and Stockholm conventions and the Strategic Approach (</w:t>
      </w:r>
      <w:proofErr w:type="spellStart"/>
      <w:r w:rsidR="007E2FD9" w:rsidRPr="00D27185">
        <w:rPr>
          <w:lang w:val="en-US"/>
        </w:rPr>
        <w:t>Cooperación</w:t>
      </w:r>
      <w:proofErr w:type="spellEnd"/>
      <w:r w:rsidR="007E2FD9" w:rsidRPr="00D27185">
        <w:rPr>
          <w:lang w:val="en-US"/>
        </w:rPr>
        <w:t xml:space="preserve"> y </w:t>
      </w:r>
      <w:proofErr w:type="spellStart"/>
      <w:r w:rsidR="007E2FD9" w:rsidRPr="00D27185">
        <w:rPr>
          <w:lang w:val="en-US"/>
        </w:rPr>
        <w:t>coordinación</w:t>
      </w:r>
      <w:proofErr w:type="spellEnd"/>
      <w:r w:rsidR="007E2FD9" w:rsidRPr="00D27185">
        <w:rPr>
          <w:lang w:val="en-US"/>
        </w:rPr>
        <w:t xml:space="preserve"> entre </w:t>
      </w:r>
      <w:proofErr w:type="spellStart"/>
      <w:r w:rsidR="007E2FD9" w:rsidRPr="00D27185">
        <w:rPr>
          <w:lang w:val="en-US"/>
        </w:rPr>
        <w:t>las</w:t>
      </w:r>
      <w:proofErr w:type="spellEnd"/>
      <w:r w:rsidR="007E2FD9" w:rsidRPr="00D27185">
        <w:rPr>
          <w:lang w:val="en-US"/>
        </w:rPr>
        <w:t xml:space="preserve"> </w:t>
      </w:r>
      <w:proofErr w:type="spellStart"/>
      <w:r w:rsidR="007E2FD9" w:rsidRPr="00D27185">
        <w:rPr>
          <w:lang w:val="en-US"/>
        </w:rPr>
        <w:t>Secretarías</w:t>
      </w:r>
      <w:proofErr w:type="spellEnd"/>
      <w:r w:rsidR="007E2FD9" w:rsidRPr="00D27185">
        <w:rPr>
          <w:lang w:val="en-US"/>
        </w:rPr>
        <w:t xml:space="preserve"> de los </w:t>
      </w:r>
      <w:proofErr w:type="spellStart"/>
      <w:r w:rsidR="007E2FD9" w:rsidRPr="00D27185">
        <w:rPr>
          <w:lang w:val="en-US"/>
        </w:rPr>
        <w:t>Convenios</w:t>
      </w:r>
      <w:proofErr w:type="spellEnd"/>
      <w:r w:rsidR="007E2FD9" w:rsidRPr="00D27185">
        <w:rPr>
          <w:lang w:val="en-US"/>
        </w:rPr>
        <w:t xml:space="preserve"> de </w:t>
      </w:r>
      <w:proofErr w:type="spellStart"/>
      <w:r w:rsidR="007E2FD9" w:rsidRPr="00D27185">
        <w:rPr>
          <w:lang w:val="en-US"/>
        </w:rPr>
        <w:t>Basilea</w:t>
      </w:r>
      <w:proofErr w:type="spellEnd"/>
      <w:r w:rsidR="007E2FD9" w:rsidRPr="00D27185">
        <w:rPr>
          <w:lang w:val="en-US"/>
        </w:rPr>
        <w:t xml:space="preserve">, </w:t>
      </w:r>
      <w:proofErr w:type="spellStart"/>
      <w:r w:rsidR="007E2FD9" w:rsidRPr="00D27185">
        <w:rPr>
          <w:lang w:val="en-US"/>
        </w:rPr>
        <w:t>Estocolmo</w:t>
      </w:r>
      <w:proofErr w:type="spellEnd"/>
      <w:r w:rsidR="007E2FD9" w:rsidRPr="00D27185">
        <w:rPr>
          <w:lang w:val="en-US"/>
        </w:rPr>
        <w:t xml:space="preserve"> y Rot</w:t>
      </w:r>
      <w:r w:rsidRPr="00D27185">
        <w:rPr>
          <w:lang w:val="en-US"/>
        </w:rPr>
        <w:t xml:space="preserve">terdam y el </w:t>
      </w:r>
      <w:proofErr w:type="spellStart"/>
      <w:r w:rsidRPr="00D27185">
        <w:rPr>
          <w:lang w:val="en-US"/>
        </w:rPr>
        <w:t>Enfoque</w:t>
      </w:r>
      <w:proofErr w:type="spellEnd"/>
      <w:r w:rsidRPr="00D27185">
        <w:rPr>
          <w:lang w:val="en-US"/>
        </w:rPr>
        <w:t xml:space="preserve"> </w:t>
      </w:r>
      <w:proofErr w:type="spellStart"/>
      <w:r w:rsidRPr="00D27185">
        <w:rPr>
          <w:lang w:val="en-US"/>
        </w:rPr>
        <w:t>Estratégico</w:t>
      </w:r>
      <w:proofErr w:type="spellEnd"/>
      <w:r w:rsidRPr="00D27185">
        <w:rPr>
          <w:lang w:val="en-US"/>
        </w:rPr>
        <w:t xml:space="preserve">) </w:t>
      </w:r>
      <w:r w:rsidR="007E2FD9" w:rsidRPr="00D27185">
        <w:rPr>
          <w:lang w:val="en-US"/>
        </w:rPr>
        <w:t>(</w:t>
      </w:r>
      <w:proofErr w:type="spellStart"/>
      <w:r w:rsidR="007E2FD9" w:rsidRPr="00D27185">
        <w:rPr>
          <w:lang w:val="en-US"/>
        </w:rPr>
        <w:t>véase</w:t>
      </w:r>
      <w:proofErr w:type="spellEnd"/>
      <w:r w:rsidR="007E2FD9" w:rsidRPr="00D27185">
        <w:rPr>
          <w:lang w:val="en-US"/>
        </w:rPr>
        <w:t> SAICM/ICCM.4/INF/24);</w:t>
      </w:r>
    </w:p>
    <w:p w:rsidR="007E2FD9" w:rsidRPr="00100F71" w:rsidRDefault="00116805">
      <w:pPr>
        <w:pStyle w:val="Normalnumber"/>
        <w:numPr>
          <w:ilvl w:val="1"/>
          <w:numId w:val="5"/>
        </w:numPr>
        <w:ind w:firstLine="624"/>
        <w:rPr>
          <w:lang w:val="es-ES_tradnl"/>
        </w:rPr>
      </w:pPr>
      <w:r w:rsidRPr="00100F71">
        <w:rPr>
          <w:lang w:val="es-ES_tradnl"/>
        </w:rPr>
        <w:t xml:space="preserve">International Council of </w:t>
      </w:r>
      <w:proofErr w:type="spellStart"/>
      <w:r w:rsidRPr="00100F71">
        <w:rPr>
          <w:lang w:val="es-ES_tradnl"/>
        </w:rPr>
        <w:t>Chemical</w:t>
      </w:r>
      <w:proofErr w:type="spellEnd"/>
      <w:r w:rsidRPr="00100F71">
        <w:rPr>
          <w:lang w:val="es-ES_tradnl"/>
        </w:rPr>
        <w:t xml:space="preserve"> </w:t>
      </w:r>
      <w:proofErr w:type="spellStart"/>
      <w:r w:rsidRPr="00100F71">
        <w:rPr>
          <w:lang w:val="es-ES_tradnl"/>
        </w:rPr>
        <w:t>Associations</w:t>
      </w:r>
      <w:proofErr w:type="spellEnd"/>
      <w:r w:rsidRPr="00100F71">
        <w:rPr>
          <w:lang w:val="es-ES_tradnl"/>
        </w:rPr>
        <w:t xml:space="preserve"> </w:t>
      </w:r>
      <w:proofErr w:type="spellStart"/>
      <w:r w:rsidRPr="00100F71">
        <w:rPr>
          <w:lang w:val="es-ES_tradnl"/>
        </w:rPr>
        <w:t>fifth</w:t>
      </w:r>
      <w:proofErr w:type="spellEnd"/>
      <w:r w:rsidRPr="00100F71">
        <w:rPr>
          <w:lang w:val="es-ES_tradnl"/>
        </w:rPr>
        <w:t xml:space="preserve"> </w:t>
      </w:r>
      <w:proofErr w:type="spellStart"/>
      <w:r w:rsidRPr="00100F71">
        <w:rPr>
          <w:lang w:val="es-ES_tradnl"/>
        </w:rPr>
        <w:t>update</w:t>
      </w:r>
      <w:proofErr w:type="spellEnd"/>
      <w:r w:rsidRPr="00100F71">
        <w:rPr>
          <w:lang w:val="es-ES_tradnl"/>
        </w:rPr>
        <w:t xml:space="preserve"> </w:t>
      </w:r>
      <w:proofErr w:type="spellStart"/>
      <w:r w:rsidRPr="00100F71">
        <w:rPr>
          <w:lang w:val="es-ES_tradnl"/>
        </w:rPr>
        <w:t>report</w:t>
      </w:r>
      <w:proofErr w:type="spellEnd"/>
      <w:r w:rsidRPr="00100F71">
        <w:rPr>
          <w:lang w:val="es-ES_tradnl"/>
        </w:rPr>
        <w:t xml:space="preserve"> </w:t>
      </w:r>
      <w:proofErr w:type="spellStart"/>
      <w:r w:rsidRPr="00100F71">
        <w:rPr>
          <w:lang w:val="es-ES_tradnl"/>
        </w:rPr>
        <w:t>on</w:t>
      </w:r>
      <w:proofErr w:type="spellEnd"/>
      <w:r w:rsidRPr="00100F71">
        <w:rPr>
          <w:lang w:val="es-ES_tradnl"/>
        </w:rPr>
        <w:t xml:space="preserve"> </w:t>
      </w:r>
      <w:proofErr w:type="spellStart"/>
      <w:r w:rsidRPr="00100F71">
        <w:rPr>
          <w:lang w:val="es-ES_tradnl"/>
        </w:rPr>
        <w:t>Strategic</w:t>
      </w:r>
      <w:proofErr w:type="spellEnd"/>
      <w:r w:rsidRPr="00100F71">
        <w:rPr>
          <w:lang w:val="es-ES_tradnl"/>
        </w:rPr>
        <w:t xml:space="preserve"> </w:t>
      </w:r>
      <w:proofErr w:type="spellStart"/>
      <w:r w:rsidRPr="00100F71">
        <w:rPr>
          <w:lang w:val="es-ES_tradnl"/>
        </w:rPr>
        <w:t>Approach</w:t>
      </w:r>
      <w:proofErr w:type="spellEnd"/>
      <w:r w:rsidRPr="00100F71">
        <w:rPr>
          <w:lang w:val="es-ES_tradnl"/>
        </w:rPr>
        <w:t xml:space="preserve"> </w:t>
      </w:r>
      <w:proofErr w:type="spellStart"/>
      <w:r w:rsidRPr="00100F71">
        <w:rPr>
          <w:lang w:val="es-ES_tradnl"/>
        </w:rPr>
        <w:t>implementation</w:t>
      </w:r>
      <w:proofErr w:type="spellEnd"/>
      <w:r w:rsidRPr="00100F71">
        <w:rPr>
          <w:lang w:val="es-ES_tradnl"/>
        </w:rPr>
        <w:t xml:space="preserve"> (</w:t>
      </w:r>
      <w:r w:rsidR="007E2FD9" w:rsidRPr="00100F71">
        <w:rPr>
          <w:lang w:val="es-ES_tradnl"/>
        </w:rPr>
        <w:t>Quinto inform</w:t>
      </w:r>
      <w:r w:rsidRPr="00100F71">
        <w:rPr>
          <w:lang w:val="es-ES_tradnl"/>
        </w:rPr>
        <w:t>e</w:t>
      </w:r>
      <w:r w:rsidR="007E2FD9" w:rsidRPr="00100F71">
        <w:rPr>
          <w:lang w:val="es-ES_tradnl"/>
        </w:rPr>
        <w:t xml:space="preserve"> de actualización del Consejo Internacional de Asociaciones de Fabricantes de Productos Químicos sobre la aplicación del Enfoque Estratégico</w:t>
      </w:r>
      <w:r w:rsidRPr="00100F71">
        <w:rPr>
          <w:lang w:val="es-ES_tradnl"/>
        </w:rPr>
        <w:t>)</w:t>
      </w:r>
      <w:r w:rsidR="007E2FD9" w:rsidRPr="00100F71">
        <w:rPr>
          <w:lang w:val="es-ES_tradnl"/>
        </w:rPr>
        <w:t xml:space="preserve"> (véase SAICM/ICCM.4/INF/26).</w:t>
      </w:r>
    </w:p>
    <w:p w:rsidR="00C72809" w:rsidRPr="00100F71" w:rsidRDefault="00C72809" w:rsidP="00100F71">
      <w:pPr>
        <w:pStyle w:val="Normalnumber"/>
        <w:tabs>
          <w:tab w:val="clear" w:pos="567"/>
          <w:tab w:val="clear" w:pos="624"/>
          <w:tab w:val="clear" w:pos="1247"/>
        </w:tabs>
        <w:rPr>
          <w:lang w:val="es-ES_tradnl"/>
        </w:rPr>
      </w:pPr>
      <w:r w:rsidRPr="00100F71">
        <w:rPr>
          <w:lang w:val="es-ES_tradnl"/>
        </w:rPr>
        <w:t>En relación con las medidas propuestas elaboradas por la Secretaría a petición de la Mesa para el tema 5 a) del programa</w:t>
      </w:r>
      <w:r w:rsidR="007E2FD9" w:rsidRPr="00100F71">
        <w:rPr>
          <w:lang w:val="es-ES_tradnl"/>
        </w:rPr>
        <w:t xml:space="preserve"> (véase SAICM/ICCM.4/6)</w:t>
      </w:r>
      <w:r w:rsidRPr="00100F71">
        <w:rPr>
          <w:lang w:val="es-ES_tradnl"/>
        </w:rPr>
        <w:t xml:space="preserve"> y en consonancia con la orientación y las directrices generales para el logro de la meta de 2020, la Conferencia tal vez desee:</w:t>
      </w:r>
    </w:p>
    <w:p w:rsidR="00C72809" w:rsidRPr="00100F71" w:rsidRDefault="00C72809" w:rsidP="00100F71">
      <w:pPr>
        <w:pStyle w:val="Normalnumber"/>
        <w:numPr>
          <w:ilvl w:val="1"/>
          <w:numId w:val="5"/>
        </w:numPr>
        <w:tabs>
          <w:tab w:val="clear" w:pos="567"/>
          <w:tab w:val="clear" w:pos="624"/>
          <w:tab w:val="clear" w:pos="1247"/>
        </w:tabs>
        <w:ind w:firstLine="624"/>
        <w:rPr>
          <w:lang w:val="es-ES_tradnl"/>
        </w:rPr>
      </w:pPr>
      <w:r w:rsidRPr="00100F71">
        <w:rPr>
          <w:lang w:val="es-ES_tradnl"/>
        </w:rPr>
        <w:t>Examinar la forma en que la información proporcionada por las regiones y los representantes sectoriales puede utilizarse para seguir mejorando la aplicación del Enfoque Estratégico con miras a la consecución de la meta de 2020;</w:t>
      </w:r>
    </w:p>
    <w:p w:rsidR="00C72809" w:rsidRPr="00100F71" w:rsidRDefault="00C72809" w:rsidP="00100F71">
      <w:pPr>
        <w:pStyle w:val="Normalnumber"/>
        <w:numPr>
          <w:ilvl w:val="1"/>
          <w:numId w:val="5"/>
        </w:numPr>
        <w:tabs>
          <w:tab w:val="clear" w:pos="567"/>
          <w:tab w:val="clear" w:pos="624"/>
          <w:tab w:val="clear" w:pos="1247"/>
        </w:tabs>
        <w:ind w:firstLine="624"/>
        <w:rPr>
          <w:lang w:val="es-ES_tradnl"/>
        </w:rPr>
      </w:pPr>
      <w:r w:rsidRPr="00100F71">
        <w:rPr>
          <w:lang w:val="es-ES_tradnl"/>
        </w:rPr>
        <w:t>Acoger con satisfacción la labor realizada por la Secretaría en relación con el informe sobre los progresos realizados en la aplicación del Enfoque Estratégico para 2011</w:t>
      </w:r>
      <w:r w:rsidR="00A82CE5" w:rsidRPr="00100F71">
        <w:rPr>
          <w:lang w:val="es-ES_tradnl"/>
        </w:rPr>
        <w:noBreakHyphen/>
      </w:r>
      <w:r w:rsidRPr="00100F71">
        <w:rPr>
          <w:lang w:val="es-ES_tradnl"/>
        </w:rPr>
        <w:t>2013;</w:t>
      </w:r>
    </w:p>
    <w:p w:rsidR="00C72809" w:rsidRPr="00100F71" w:rsidRDefault="00C72809" w:rsidP="00100F71">
      <w:pPr>
        <w:pStyle w:val="Normalnumber"/>
        <w:numPr>
          <w:ilvl w:val="1"/>
          <w:numId w:val="5"/>
        </w:numPr>
        <w:tabs>
          <w:tab w:val="clear" w:pos="567"/>
          <w:tab w:val="clear" w:pos="624"/>
          <w:tab w:val="clear" w:pos="1247"/>
        </w:tabs>
        <w:ind w:firstLine="624"/>
        <w:rPr>
          <w:lang w:val="es-ES_tradnl"/>
        </w:rPr>
      </w:pPr>
      <w:r w:rsidRPr="00100F71">
        <w:rPr>
          <w:lang w:val="es-ES_tradnl"/>
        </w:rPr>
        <w:t>Proponer los arreglos necesarios para la preparación de un tercer informe sobre los progresos realizados, así como mecanismos para aumentar la presentación puntual de informes con vistas a aumentar la presentación general de informes en el futuro.</w:t>
      </w:r>
    </w:p>
    <w:p w:rsidR="00C72809" w:rsidRPr="00100F71" w:rsidRDefault="00C72809" w:rsidP="00100F71">
      <w:pPr>
        <w:pStyle w:val="Normalnumber"/>
        <w:numPr>
          <w:ilvl w:val="1"/>
          <w:numId w:val="5"/>
        </w:numPr>
        <w:tabs>
          <w:tab w:val="clear" w:pos="567"/>
          <w:tab w:val="clear" w:pos="624"/>
          <w:tab w:val="clear" w:pos="1247"/>
        </w:tabs>
        <w:ind w:firstLine="624"/>
        <w:rPr>
          <w:lang w:val="es-ES_tradnl"/>
        </w:rPr>
      </w:pPr>
      <w:r w:rsidRPr="00100F71">
        <w:rPr>
          <w:lang w:val="es-ES_tradnl"/>
        </w:rPr>
        <w:t>Considerar la posibilidad de que los 20 indicadores actuales se apliquen en mayor medida para supervisar el avance general hacia la consecución de la meta de 2020, teniendo en cuenta su utilidad y posibles vínculos con los nuevos objetivos de desarrollo sostenible, en particular con respecto a la evaluación de las dimensiones no cuantitativas de los progresos.</w:t>
      </w:r>
    </w:p>
    <w:p w:rsidR="00C72809" w:rsidRPr="00100F71" w:rsidRDefault="00C72809" w:rsidP="00C72809">
      <w:pPr>
        <w:pStyle w:val="CH3"/>
        <w:rPr>
          <w:lang w:val="es-ES_tradnl"/>
        </w:rPr>
      </w:pPr>
      <w:r w:rsidRPr="00100F71">
        <w:rPr>
          <w:lang w:val="es-ES_tradnl"/>
        </w:rPr>
        <w:tab/>
        <w:t>b)</w:t>
      </w:r>
      <w:r w:rsidRPr="00100F71">
        <w:rPr>
          <w:lang w:val="es-ES_tradnl"/>
        </w:rPr>
        <w:tab/>
        <w:t xml:space="preserve">Informe del Programa de </w:t>
      </w:r>
      <w:r w:rsidR="00BE2E79" w:rsidRPr="00100F71">
        <w:rPr>
          <w:lang w:val="es-ES_tradnl"/>
        </w:rPr>
        <w:t>I</w:t>
      </w:r>
      <w:r w:rsidRPr="00100F71">
        <w:rPr>
          <w:lang w:val="es-ES_tradnl"/>
        </w:rPr>
        <w:t xml:space="preserve">nicio </w:t>
      </w:r>
      <w:r w:rsidR="00BE2E79" w:rsidRPr="00100F71">
        <w:rPr>
          <w:lang w:val="es-ES_tradnl"/>
        </w:rPr>
        <w:t>R</w:t>
      </w:r>
      <w:r w:rsidRPr="00100F71">
        <w:rPr>
          <w:lang w:val="es-ES_tradnl"/>
        </w:rPr>
        <w:t>ápido</w:t>
      </w:r>
    </w:p>
    <w:p w:rsidR="00C72809" w:rsidRPr="00100F71" w:rsidRDefault="00C72809" w:rsidP="00C72809">
      <w:pPr>
        <w:pStyle w:val="Normalnumber"/>
        <w:rPr>
          <w:lang w:val="es-ES_tradnl"/>
        </w:rPr>
      </w:pPr>
      <w:r w:rsidRPr="00100F71">
        <w:rPr>
          <w:lang w:val="es-ES_tradnl"/>
        </w:rPr>
        <w:t xml:space="preserve">El Programa de </w:t>
      </w:r>
      <w:r w:rsidR="00BE2E79" w:rsidRPr="00100F71">
        <w:rPr>
          <w:lang w:val="es-ES_tradnl"/>
        </w:rPr>
        <w:t>I</w:t>
      </w:r>
      <w:r w:rsidRPr="00100F71">
        <w:rPr>
          <w:lang w:val="es-ES_tradnl"/>
        </w:rPr>
        <w:t xml:space="preserve">nicio </w:t>
      </w:r>
      <w:r w:rsidR="00BE2E79" w:rsidRPr="00100F71">
        <w:rPr>
          <w:lang w:val="es-ES_tradnl"/>
        </w:rPr>
        <w:t>R</w:t>
      </w:r>
      <w:r w:rsidRPr="00100F71">
        <w:rPr>
          <w:lang w:val="es-ES_tradnl"/>
        </w:rPr>
        <w:t>ápido ha contribuido de manera sustancial a la creación y el fortalecimiento de la capacidad en los países en desarrollo y los países con economías en transición mediante el suministro de financiación inicial para actividades específicas que han sido esenciales para determinar las necesidades de capacidad y establecer la capacidad básica necesaria para continuar avanzando hacia el logro de los objetivos del Enfoque Estratégico. Los resultados de</w:t>
      </w:r>
      <w:r w:rsidR="00861751">
        <w:rPr>
          <w:lang w:val="es-ES_tradnl"/>
        </w:rPr>
        <w:t xml:space="preserve"> los proyectos del Programa de Inicio R</w:t>
      </w:r>
      <w:r w:rsidRPr="00100F71">
        <w:rPr>
          <w:lang w:val="es-ES_tradnl"/>
        </w:rPr>
        <w:t>ápido ofrecen la oportunidad de identificar las buenas prácticas y lecciones aprendidas para luego compartirlas y evitar la duplicación de esfuerzos, aprovechando al máximo la utilización de los recursos existentes y compartiendo los conocimientos que se hayan generado en los diferentes proyectos.</w:t>
      </w:r>
    </w:p>
    <w:p w:rsidR="00C72809" w:rsidRPr="00100F71" w:rsidRDefault="00C72809" w:rsidP="00C72809">
      <w:pPr>
        <w:pStyle w:val="Normalnumber"/>
        <w:tabs>
          <w:tab w:val="clear" w:pos="567"/>
          <w:tab w:val="clear" w:pos="1247"/>
        </w:tabs>
        <w:rPr>
          <w:lang w:val="es-ES_tradnl"/>
        </w:rPr>
      </w:pPr>
      <w:r w:rsidRPr="00100F71">
        <w:rPr>
          <w:lang w:val="es-ES_tradnl"/>
        </w:rPr>
        <w:t xml:space="preserve">La Conferencia tendrá ante sí </w:t>
      </w:r>
      <w:r w:rsidR="007E2FD9" w:rsidRPr="00100F71">
        <w:rPr>
          <w:lang w:val="es-ES_tradnl"/>
        </w:rPr>
        <w:t>un</w:t>
      </w:r>
      <w:r w:rsidRPr="00100F71">
        <w:rPr>
          <w:lang w:val="es-ES_tradnl"/>
        </w:rPr>
        <w:t xml:space="preserve"> resumen preparado por la </w:t>
      </w:r>
      <w:r w:rsidR="007E2FD9" w:rsidRPr="00100F71">
        <w:rPr>
          <w:lang w:val="es-ES_tradnl"/>
        </w:rPr>
        <w:t>s</w:t>
      </w:r>
      <w:r w:rsidRPr="00100F71">
        <w:rPr>
          <w:lang w:val="es-ES_tradnl"/>
        </w:rPr>
        <w:t xml:space="preserve">ecretaría sobre el Programa de </w:t>
      </w:r>
      <w:r w:rsidR="00BE2E79" w:rsidRPr="00100F71">
        <w:rPr>
          <w:lang w:val="es-ES_tradnl"/>
        </w:rPr>
        <w:t>I</w:t>
      </w:r>
      <w:r w:rsidRPr="00100F71">
        <w:rPr>
          <w:lang w:val="es-ES_tradnl"/>
        </w:rPr>
        <w:t xml:space="preserve">nicio </w:t>
      </w:r>
      <w:r w:rsidR="00BE2E79" w:rsidRPr="00100F71">
        <w:rPr>
          <w:lang w:val="es-ES_tradnl"/>
        </w:rPr>
        <w:t>R</w:t>
      </w:r>
      <w:r w:rsidRPr="00100F71">
        <w:rPr>
          <w:lang w:val="es-ES_tradnl"/>
        </w:rPr>
        <w:t>ápido</w:t>
      </w:r>
      <w:r w:rsidR="007E2FD9" w:rsidRPr="00100F71">
        <w:rPr>
          <w:lang w:val="es-ES_tradnl"/>
        </w:rPr>
        <w:t xml:space="preserve"> y su fondo</w:t>
      </w:r>
      <w:r w:rsidR="00100F71">
        <w:rPr>
          <w:lang w:val="es-ES_tradnl"/>
        </w:rPr>
        <w:t xml:space="preserve"> </w:t>
      </w:r>
      <w:r w:rsidR="007E2FD9" w:rsidRPr="00100F71">
        <w:rPr>
          <w:lang w:val="es-ES_tradnl"/>
        </w:rPr>
        <w:t>fiduciario</w:t>
      </w:r>
      <w:r w:rsidRPr="00100F71">
        <w:rPr>
          <w:lang w:val="es-ES_tradnl"/>
        </w:rPr>
        <w:t xml:space="preserve"> (véase SAICM/ICCM.4/4)</w:t>
      </w:r>
      <w:r w:rsidR="007E2FD9" w:rsidRPr="00100F71">
        <w:rPr>
          <w:lang w:val="es-ES_tradnl"/>
        </w:rPr>
        <w:t xml:space="preserve"> y una nota sobre</w:t>
      </w:r>
      <w:r w:rsidRPr="00100F71">
        <w:rPr>
          <w:lang w:val="es-ES_tradnl"/>
        </w:rPr>
        <w:t xml:space="preserve"> la evaluación de</w:t>
      </w:r>
      <w:r w:rsidR="007E2FD9" w:rsidRPr="00100F71">
        <w:rPr>
          <w:lang w:val="es-ES_tradnl"/>
        </w:rPr>
        <w:t>l impacto del Programa de Inicio Rápido</w:t>
      </w:r>
      <w:r w:rsidRPr="00100F71">
        <w:rPr>
          <w:lang w:val="es-ES_tradnl"/>
        </w:rPr>
        <w:t xml:space="preserve"> (véase SAICM/ICCM.4/INF/5).</w:t>
      </w:r>
    </w:p>
    <w:p w:rsidR="00C72809" w:rsidRPr="00100F71" w:rsidRDefault="00C72809" w:rsidP="00C72809">
      <w:pPr>
        <w:pStyle w:val="Normalnumber"/>
        <w:rPr>
          <w:lang w:val="es-ES_tradnl"/>
        </w:rPr>
      </w:pPr>
      <w:r w:rsidRPr="00100F71">
        <w:rPr>
          <w:lang w:val="es-ES_tradnl"/>
        </w:rPr>
        <w:t xml:space="preserve">La Conferencia tal vez desee acoger con beneplácito los resultados de los proyectos del Fondo Fiduciario del Programa de </w:t>
      </w:r>
      <w:r w:rsidR="00BE2E79" w:rsidRPr="00100F71">
        <w:rPr>
          <w:lang w:val="es-ES_tradnl"/>
        </w:rPr>
        <w:t>I</w:t>
      </w:r>
      <w:r w:rsidRPr="00100F71">
        <w:rPr>
          <w:lang w:val="es-ES_tradnl"/>
        </w:rPr>
        <w:t xml:space="preserve">nicio </w:t>
      </w:r>
      <w:r w:rsidR="00BE2E79" w:rsidRPr="00100F71">
        <w:rPr>
          <w:lang w:val="es-ES_tradnl"/>
        </w:rPr>
        <w:t>R</w:t>
      </w:r>
      <w:r w:rsidRPr="00100F71">
        <w:rPr>
          <w:lang w:val="es-ES_tradnl"/>
        </w:rPr>
        <w:t xml:space="preserve">ápido, sobre la base del informe resumido de la Secretaría y la evaluación de los efectos. En respuesta a las necesidades señaladas en la orientación y directrices generales, la Conferencia tal vez desee examinar también, en relación con el tema 5 a) del programa, las estrategias y los enfoques para difundir ampliamente la experiencia adquirida en el Programa de </w:t>
      </w:r>
      <w:r w:rsidR="00BE2E79" w:rsidRPr="00100F71">
        <w:rPr>
          <w:lang w:val="es-ES_tradnl"/>
        </w:rPr>
        <w:t>I</w:t>
      </w:r>
      <w:r w:rsidRPr="00100F71">
        <w:rPr>
          <w:lang w:val="es-ES_tradnl"/>
        </w:rPr>
        <w:t xml:space="preserve">nicio </w:t>
      </w:r>
      <w:r w:rsidR="00BE2E79" w:rsidRPr="00100F71">
        <w:rPr>
          <w:lang w:val="es-ES_tradnl"/>
        </w:rPr>
        <w:t>R</w:t>
      </w:r>
      <w:r w:rsidRPr="00100F71">
        <w:rPr>
          <w:lang w:val="es-ES_tradnl"/>
        </w:rPr>
        <w:t>ápido a fin de mejorar aún más la aplicación del Enfoque Estratégico y aprovechar al máximo el total de las inversiones.</w:t>
      </w:r>
    </w:p>
    <w:p w:rsidR="00C72809" w:rsidRPr="00100F71" w:rsidRDefault="00C72809" w:rsidP="00C72809">
      <w:pPr>
        <w:pStyle w:val="CH3"/>
        <w:rPr>
          <w:lang w:val="es-ES_tradnl"/>
        </w:rPr>
      </w:pPr>
      <w:r w:rsidRPr="00100F71">
        <w:rPr>
          <w:lang w:val="es-ES_tradnl"/>
        </w:rPr>
        <w:tab/>
        <w:t>c)</w:t>
      </w:r>
      <w:r w:rsidRPr="00100F71">
        <w:rPr>
          <w:lang w:val="es-ES_tradnl"/>
        </w:rPr>
        <w:tab/>
        <w:t>Gestión racional de los productos químicos y los desechos en el contexto de los objetivos de desarrollo sostenible</w:t>
      </w:r>
    </w:p>
    <w:p w:rsidR="00C72809" w:rsidRPr="00100F71" w:rsidRDefault="00C72809" w:rsidP="00C72809">
      <w:pPr>
        <w:pStyle w:val="Normalnumber"/>
        <w:ind w:left="1248"/>
        <w:rPr>
          <w:lang w:val="es-ES_tradnl"/>
        </w:rPr>
      </w:pPr>
      <w:r w:rsidRPr="00100F71">
        <w:rPr>
          <w:lang w:val="es-ES_tradnl"/>
        </w:rPr>
        <w:t xml:space="preserve">La cumbre de las </w:t>
      </w:r>
      <w:r w:rsidR="00A82CE5" w:rsidRPr="00100F71">
        <w:rPr>
          <w:lang w:val="es-ES_tradnl"/>
        </w:rPr>
        <w:t>Naciones Unidas</w:t>
      </w:r>
      <w:r w:rsidRPr="00100F71">
        <w:rPr>
          <w:lang w:val="es-ES_tradnl"/>
        </w:rPr>
        <w:t xml:space="preserve"> para la aprobación de la agend</w:t>
      </w:r>
      <w:r w:rsidR="00C13BE6" w:rsidRPr="00100F71">
        <w:rPr>
          <w:lang w:val="es-ES_tradnl"/>
        </w:rPr>
        <w:t>a para el desarrollo después de </w:t>
      </w:r>
      <w:r w:rsidRPr="00100F71">
        <w:rPr>
          <w:lang w:val="es-ES_tradnl"/>
        </w:rPr>
        <w:t>2015 se celebrará en Nueva York del 25 al 27 de septiembre de 2015. Los objetivos de desarrollo sostenible, que se examinarán en la cumbre, representan una oportunidad para garantizar los vínculos entre el desarrollo sostenible y la gestión racional de los productos químicos para 2020 y después de esa fecha.</w:t>
      </w:r>
    </w:p>
    <w:p w:rsidR="00C72809" w:rsidRPr="00100F71" w:rsidRDefault="00C72809" w:rsidP="00C72809">
      <w:pPr>
        <w:pStyle w:val="Normalnumber"/>
        <w:ind w:left="1248"/>
        <w:rPr>
          <w:lang w:val="es-ES_tradnl"/>
        </w:rPr>
      </w:pPr>
      <w:r w:rsidRPr="00100F71">
        <w:rPr>
          <w:lang w:val="es-ES_tradnl"/>
        </w:rPr>
        <w:t xml:space="preserve">Se proporcionará a la Conferencia una versión actualizada de las conclusiones de la cumbre. La Conferencia tendrá ante sí un informe de la Secretaría sobre la gestión racional de los productos químicos y los desechos en el contexto de los objetivos de desarrollo sostenible (SAICM/ICCM.4/5), así como un informe sobre </w:t>
      </w:r>
      <w:r w:rsidR="00D27185">
        <w:rPr>
          <w:lang w:val="es-ES_tradnl"/>
        </w:rPr>
        <w:t>la contribución</w:t>
      </w:r>
      <w:r w:rsidRPr="00100F71">
        <w:rPr>
          <w:lang w:val="es-ES_tradnl"/>
        </w:rPr>
        <w:t xml:space="preserve"> en todo el sistema de las </w:t>
      </w:r>
      <w:r w:rsidR="00A82CE5" w:rsidRPr="00100F71">
        <w:rPr>
          <w:lang w:val="es-ES_tradnl"/>
        </w:rPr>
        <w:t>Naciones Unidas</w:t>
      </w:r>
      <w:r w:rsidRPr="00100F71">
        <w:rPr>
          <w:lang w:val="es-ES_tradnl"/>
        </w:rPr>
        <w:t xml:space="preserve"> para lograr la gestión racional de los productos químicos y los desechos (</w:t>
      </w:r>
      <w:r w:rsidR="007E2FD9" w:rsidRPr="00100F71">
        <w:rPr>
          <w:lang w:val="es-ES_tradnl"/>
        </w:rPr>
        <w:t xml:space="preserve">véase </w:t>
      </w:r>
      <w:r w:rsidRPr="00100F71">
        <w:rPr>
          <w:lang w:val="es-ES_tradnl"/>
        </w:rPr>
        <w:t>SAICM/ICCM.4/INF/6).</w:t>
      </w:r>
    </w:p>
    <w:p w:rsidR="00C72809" w:rsidRPr="00100F71" w:rsidRDefault="00C72809" w:rsidP="00C72809">
      <w:pPr>
        <w:pStyle w:val="Normalnumber"/>
        <w:ind w:left="1248"/>
        <w:rPr>
          <w:lang w:val="es-ES_tradnl"/>
        </w:rPr>
      </w:pPr>
      <w:r w:rsidRPr="00100F71">
        <w:rPr>
          <w:lang w:val="es-ES_tradnl"/>
        </w:rPr>
        <w:t>La Conferencia tal vez desee acoger con satisfacción la aprobación de los objetivos de desarrollo sostenible. Además, tal vez desee examinar, en relación con los temas 5 y 6, la forma en que los objetivos pueden dar un nuevo impulso a catalizar la aplicación de la gestión racional de los productos químicos a nivel nacional, regional y mundial, a fin de establecer prioridades y adoptar un enfoque amplio para la gestión racional de los productos químicos como una condición esencial para lograr el desarrollo sostenible, incluidos los posibles vínculos con los 20 indicadores para supervisar el avance general en la consecución de la meta de 2020 del Enfoque Estratégico.</w:t>
      </w:r>
    </w:p>
    <w:p w:rsidR="00C72809" w:rsidRPr="00100F71" w:rsidRDefault="00C72809" w:rsidP="00C72809">
      <w:pPr>
        <w:pStyle w:val="CH2"/>
        <w:tabs>
          <w:tab w:val="clear" w:pos="851"/>
          <w:tab w:val="clear" w:pos="1247"/>
          <w:tab w:val="clear" w:pos="1814"/>
          <w:tab w:val="clear" w:pos="2381"/>
          <w:tab w:val="clear" w:pos="2948"/>
          <w:tab w:val="clear" w:pos="3515"/>
          <w:tab w:val="left" w:pos="624"/>
        </w:tabs>
        <w:spacing w:after="80"/>
        <w:ind w:left="1248" w:hanging="624"/>
        <w:outlineLvl w:val="0"/>
        <w:rPr>
          <w:lang w:val="es-ES_tradnl"/>
        </w:rPr>
      </w:pPr>
      <w:r w:rsidRPr="00100F71">
        <w:rPr>
          <w:lang w:val="es-ES_tradnl"/>
        </w:rPr>
        <w:t>Tema 5</w:t>
      </w:r>
    </w:p>
    <w:p w:rsidR="00C72809" w:rsidRPr="00100F71" w:rsidRDefault="00C72809" w:rsidP="00C13BE6">
      <w:pPr>
        <w:pStyle w:val="CH2"/>
        <w:tabs>
          <w:tab w:val="clear" w:pos="851"/>
          <w:tab w:val="clear" w:pos="1814"/>
          <w:tab w:val="clear" w:pos="2381"/>
          <w:tab w:val="clear" w:pos="2948"/>
          <w:tab w:val="clear" w:pos="3515"/>
          <w:tab w:val="left" w:pos="624"/>
        </w:tabs>
        <w:spacing w:after="80"/>
        <w:ind w:left="624" w:firstLine="0"/>
        <w:outlineLvl w:val="0"/>
        <w:rPr>
          <w:lang w:val="es-ES_tradnl"/>
        </w:rPr>
      </w:pPr>
      <w:r w:rsidRPr="00100F71">
        <w:rPr>
          <w:lang w:val="es-ES_tradnl"/>
        </w:rPr>
        <w:t>Implementación con miras a la consecución de la meta de la gestión racional de los productos químicos para 2020 del Enfoque Estratégico:</w:t>
      </w:r>
    </w:p>
    <w:p w:rsidR="00C72809" w:rsidRPr="00100F71" w:rsidRDefault="00C72809" w:rsidP="00C13BE6">
      <w:pPr>
        <w:pStyle w:val="CH3"/>
        <w:numPr>
          <w:ilvl w:val="1"/>
          <w:numId w:val="5"/>
        </w:numPr>
        <w:tabs>
          <w:tab w:val="clear" w:pos="567"/>
          <w:tab w:val="clear" w:pos="851"/>
          <w:tab w:val="clear" w:pos="1247"/>
          <w:tab w:val="clear" w:pos="1814"/>
          <w:tab w:val="clear" w:pos="2381"/>
          <w:tab w:val="clear" w:pos="2948"/>
          <w:tab w:val="clear" w:pos="3515"/>
        </w:tabs>
        <w:ind w:left="1248" w:hanging="624"/>
        <w:rPr>
          <w:lang w:val="es-ES_tradnl"/>
        </w:rPr>
      </w:pPr>
      <w:r w:rsidRPr="00100F71">
        <w:rPr>
          <w:lang w:val="es-ES_tradnl"/>
        </w:rPr>
        <w:t>Orientación y directrices generales para la consecución de la meta de 2020</w:t>
      </w:r>
    </w:p>
    <w:p w:rsidR="00C72809" w:rsidRPr="00100F71" w:rsidRDefault="00C72809" w:rsidP="00C72809">
      <w:pPr>
        <w:pStyle w:val="Normalnumber"/>
        <w:keepNext/>
        <w:keepLines/>
        <w:rPr>
          <w:lang w:val="es-ES_tradnl"/>
        </w:rPr>
      </w:pPr>
      <w:r w:rsidRPr="00100F71">
        <w:rPr>
          <w:lang w:val="es-ES_tradnl"/>
        </w:rPr>
        <w:t>Tras el diálogo de alto nivel celebrado durante su tercer período de sesiones, la Conferencia convino en solicitar a la Secretaría que preparase un documento de orientación y directrices generales, sobre la base de las opiniones expresadas durante el debate, en relación con elementos de las actividades dirigidas a la consecución de la meta de 2020. El objetivo de la orientación y las directrices generales es ofrecer pautas y determinar enfoques para todos los interesados del Enfoque Estratégico a fin de lograr el objetivo general antes de 2020, incluidos algunos elementos concretos necesarios a nivel nacional.</w:t>
      </w:r>
    </w:p>
    <w:p w:rsidR="00C72809" w:rsidRPr="00100F71" w:rsidRDefault="00C72809" w:rsidP="00C72809">
      <w:pPr>
        <w:pStyle w:val="Normalnumber"/>
        <w:rPr>
          <w:lang w:val="es-ES_tradnl"/>
        </w:rPr>
      </w:pPr>
      <w:r w:rsidRPr="00100F71">
        <w:rPr>
          <w:lang w:val="es-ES_tradnl"/>
        </w:rPr>
        <w:t>La Conferencia tendrá ante sí una nota de la Secretaría sobre la orientación y las directrices generales para la consecución de la meta de la gestión racional de los productos químicos para 2020 (SAICM/ICCM.4/6). La orientación y las directrices generales han sido elaboradas por la Secretaría con la orientación de la Mesa sobre la base de la información facilitada a través de procesos de consulta con los interesados, reuniones regionales y la segunda reunión del Grupo de Trabajo de composición abierta de la Conferencia Internacional sobre Gestión de los Productos Químicos, entre otras fuentes.</w:t>
      </w:r>
    </w:p>
    <w:p w:rsidR="007E2FD9" w:rsidRPr="00100F71" w:rsidRDefault="007E2FD9" w:rsidP="00C72809">
      <w:pPr>
        <w:pStyle w:val="Normalnumber"/>
        <w:rPr>
          <w:lang w:val="es-ES_tradnl"/>
        </w:rPr>
      </w:pPr>
      <w:r w:rsidRPr="00100F71">
        <w:rPr>
          <w:lang w:val="es-ES_tradnl"/>
        </w:rPr>
        <w:t>La Conferencia tuvo ante sí otro grupo de documentos que guardaban relación con la orientación y las directrices generales respecto de la meta de 2020:</w:t>
      </w:r>
    </w:p>
    <w:p w:rsidR="007E2FD9" w:rsidRPr="00100F71" w:rsidRDefault="007E2FD9" w:rsidP="00100F71">
      <w:pPr>
        <w:pStyle w:val="Normalnumber"/>
        <w:numPr>
          <w:ilvl w:val="0"/>
          <w:numId w:val="0"/>
        </w:numPr>
        <w:ind w:left="1247"/>
        <w:rPr>
          <w:lang w:val="es-ES_tradnl"/>
        </w:rPr>
      </w:pPr>
      <w:r w:rsidRPr="00100F71">
        <w:rPr>
          <w:lang w:val="es-ES_tradnl"/>
        </w:rPr>
        <w:t>a)</w:t>
      </w:r>
      <w:r w:rsidRPr="00100F71">
        <w:rPr>
          <w:lang w:val="es-ES_tradnl"/>
        </w:rPr>
        <w:tab/>
      </w:r>
      <w:proofErr w:type="spellStart"/>
      <w:r w:rsidR="00B94534" w:rsidRPr="00100F71">
        <w:rPr>
          <w:lang w:val="es-ES_tradnl"/>
        </w:rPr>
        <w:t>Analysis</w:t>
      </w:r>
      <w:proofErr w:type="spellEnd"/>
      <w:r w:rsidR="00B94534" w:rsidRPr="00100F71">
        <w:rPr>
          <w:lang w:val="es-ES_tradnl"/>
        </w:rPr>
        <w:t xml:space="preserve"> </w:t>
      </w:r>
      <w:proofErr w:type="spellStart"/>
      <w:r w:rsidR="00B94534" w:rsidRPr="00100F71">
        <w:rPr>
          <w:lang w:val="es-ES_tradnl"/>
        </w:rPr>
        <w:t>by</w:t>
      </w:r>
      <w:proofErr w:type="spellEnd"/>
      <w:r w:rsidR="00B94534" w:rsidRPr="00100F71">
        <w:rPr>
          <w:lang w:val="es-ES_tradnl"/>
        </w:rPr>
        <w:t xml:space="preserve"> </w:t>
      </w:r>
      <w:proofErr w:type="spellStart"/>
      <w:r w:rsidR="00B94534" w:rsidRPr="00100F71">
        <w:rPr>
          <w:lang w:val="es-ES_tradnl"/>
        </w:rPr>
        <w:t>the</w:t>
      </w:r>
      <w:proofErr w:type="spellEnd"/>
      <w:r w:rsidR="00B94534" w:rsidRPr="00100F71">
        <w:rPr>
          <w:lang w:val="es-ES_tradnl"/>
        </w:rPr>
        <w:t xml:space="preserve"> Inter</w:t>
      </w:r>
      <w:r w:rsidR="006536E9">
        <w:rPr>
          <w:lang w:val="es-ES_tradnl"/>
        </w:rPr>
        <w:noBreakHyphen/>
      </w:r>
      <w:proofErr w:type="spellStart"/>
      <w:r w:rsidR="00B94534" w:rsidRPr="00100F71">
        <w:rPr>
          <w:lang w:val="es-ES_tradnl"/>
        </w:rPr>
        <w:t>Organization</w:t>
      </w:r>
      <w:proofErr w:type="spellEnd"/>
      <w:r w:rsidR="00B94534" w:rsidRPr="00100F71">
        <w:rPr>
          <w:lang w:val="es-ES_tradnl"/>
        </w:rPr>
        <w:t xml:space="preserve"> </w:t>
      </w:r>
      <w:proofErr w:type="spellStart"/>
      <w:r w:rsidR="00B94534" w:rsidRPr="00100F71">
        <w:rPr>
          <w:lang w:val="es-ES_tradnl"/>
        </w:rPr>
        <w:t>Programme</w:t>
      </w:r>
      <w:proofErr w:type="spellEnd"/>
      <w:r w:rsidR="00B94534" w:rsidRPr="00100F71">
        <w:rPr>
          <w:lang w:val="es-ES_tradnl"/>
        </w:rPr>
        <w:t xml:space="preserve"> </w:t>
      </w:r>
      <w:proofErr w:type="spellStart"/>
      <w:r w:rsidR="00B94534" w:rsidRPr="00100F71">
        <w:rPr>
          <w:lang w:val="es-ES_tradnl"/>
        </w:rPr>
        <w:t>for</w:t>
      </w:r>
      <w:proofErr w:type="spellEnd"/>
      <w:r w:rsidR="00B94534" w:rsidRPr="00100F71">
        <w:rPr>
          <w:lang w:val="es-ES_tradnl"/>
        </w:rPr>
        <w:t xml:space="preserve"> </w:t>
      </w:r>
      <w:proofErr w:type="spellStart"/>
      <w:r w:rsidR="00B94534" w:rsidRPr="00100F71">
        <w:rPr>
          <w:lang w:val="es-ES_tradnl"/>
        </w:rPr>
        <w:t>the</w:t>
      </w:r>
      <w:proofErr w:type="spellEnd"/>
      <w:r w:rsidR="00B94534" w:rsidRPr="00100F71">
        <w:rPr>
          <w:lang w:val="es-ES_tradnl"/>
        </w:rPr>
        <w:t xml:space="preserve"> </w:t>
      </w:r>
      <w:proofErr w:type="spellStart"/>
      <w:r w:rsidR="00B94534" w:rsidRPr="00100F71">
        <w:rPr>
          <w:lang w:val="es-ES_tradnl"/>
        </w:rPr>
        <w:t>Sound</w:t>
      </w:r>
      <w:proofErr w:type="spellEnd"/>
      <w:r w:rsidR="00B94534" w:rsidRPr="00100F71">
        <w:rPr>
          <w:lang w:val="es-ES_tradnl"/>
        </w:rPr>
        <w:t xml:space="preserve"> Management of </w:t>
      </w:r>
      <w:proofErr w:type="spellStart"/>
      <w:r w:rsidR="00B94534" w:rsidRPr="00100F71">
        <w:rPr>
          <w:lang w:val="es-ES_tradnl"/>
        </w:rPr>
        <w:t>Chemicals</w:t>
      </w:r>
      <w:proofErr w:type="spellEnd"/>
      <w:r w:rsidR="00B94534" w:rsidRPr="00100F71">
        <w:rPr>
          <w:lang w:val="es-ES_tradnl"/>
        </w:rPr>
        <w:t xml:space="preserve"> of </w:t>
      </w:r>
      <w:proofErr w:type="spellStart"/>
      <w:r w:rsidR="00B94534" w:rsidRPr="00100F71">
        <w:rPr>
          <w:lang w:val="es-ES_tradnl"/>
        </w:rPr>
        <w:t>the</w:t>
      </w:r>
      <w:proofErr w:type="spellEnd"/>
      <w:r w:rsidR="00B94534" w:rsidRPr="00100F71">
        <w:rPr>
          <w:lang w:val="es-ES_tradnl"/>
        </w:rPr>
        <w:t xml:space="preserve"> Global Plan of </w:t>
      </w:r>
      <w:proofErr w:type="spellStart"/>
      <w:r w:rsidR="00B94534" w:rsidRPr="00100F71">
        <w:rPr>
          <w:lang w:val="es-ES_tradnl"/>
        </w:rPr>
        <w:t>Action</w:t>
      </w:r>
      <w:proofErr w:type="spellEnd"/>
      <w:r w:rsidR="00B94534" w:rsidRPr="00100F71">
        <w:rPr>
          <w:lang w:val="es-ES_tradnl"/>
        </w:rPr>
        <w:t xml:space="preserve"> and </w:t>
      </w:r>
      <w:proofErr w:type="spellStart"/>
      <w:r w:rsidR="00B94534" w:rsidRPr="00100F71">
        <w:rPr>
          <w:lang w:val="es-ES_tradnl"/>
        </w:rPr>
        <w:t>proposal</w:t>
      </w:r>
      <w:proofErr w:type="spellEnd"/>
      <w:r w:rsidR="00B94534" w:rsidRPr="00100F71">
        <w:rPr>
          <w:lang w:val="es-ES_tradnl"/>
        </w:rPr>
        <w:t xml:space="preserve"> </w:t>
      </w:r>
      <w:proofErr w:type="spellStart"/>
      <w:r w:rsidR="00B94534" w:rsidRPr="00100F71">
        <w:rPr>
          <w:lang w:val="es-ES_tradnl"/>
        </w:rPr>
        <w:t>for</w:t>
      </w:r>
      <w:proofErr w:type="spellEnd"/>
      <w:r w:rsidR="00B94534" w:rsidRPr="00100F71">
        <w:rPr>
          <w:lang w:val="es-ES_tradnl"/>
        </w:rPr>
        <w:t xml:space="preserve"> simple </w:t>
      </w:r>
      <w:proofErr w:type="spellStart"/>
      <w:r w:rsidR="00B94534" w:rsidRPr="00100F71">
        <w:rPr>
          <w:lang w:val="es-ES_tradnl"/>
        </w:rPr>
        <w:t>indicators</w:t>
      </w:r>
      <w:proofErr w:type="spellEnd"/>
      <w:r w:rsidR="00B94534" w:rsidRPr="00100F71">
        <w:rPr>
          <w:lang w:val="es-ES_tradnl"/>
        </w:rPr>
        <w:t xml:space="preserve"> of </w:t>
      </w:r>
      <w:proofErr w:type="spellStart"/>
      <w:r w:rsidR="00B94534" w:rsidRPr="00100F71">
        <w:rPr>
          <w:lang w:val="es-ES_tradnl"/>
        </w:rPr>
        <w:t>progress</w:t>
      </w:r>
      <w:proofErr w:type="spellEnd"/>
      <w:r w:rsidR="00B94534" w:rsidRPr="00100F71">
        <w:rPr>
          <w:lang w:val="es-ES_tradnl"/>
        </w:rPr>
        <w:t xml:space="preserve"> (</w:t>
      </w:r>
      <w:r w:rsidR="00AF2579" w:rsidRPr="00100F71">
        <w:rPr>
          <w:lang w:val="es-ES_tradnl"/>
        </w:rPr>
        <w:t>Análisis del Plan de Acción Mundial realizado por el Programa Interinstitucional de Gestión Racional de los Productos Químicos</w:t>
      </w:r>
      <w:r w:rsidR="00D27185">
        <w:rPr>
          <w:lang w:val="es-ES_tradnl"/>
        </w:rPr>
        <w:t xml:space="preserve"> </w:t>
      </w:r>
      <w:r w:rsidR="00AF2579" w:rsidRPr="00100F71">
        <w:rPr>
          <w:lang w:val="es-ES_tradnl"/>
        </w:rPr>
        <w:t>y propuesta de indicadores de progreso</w:t>
      </w:r>
      <w:r w:rsidR="00B94534" w:rsidRPr="00100F71">
        <w:rPr>
          <w:lang w:val="es-ES_tradnl"/>
        </w:rPr>
        <w:t>)</w:t>
      </w:r>
      <w:r w:rsidR="00AF2579" w:rsidRPr="00100F71">
        <w:rPr>
          <w:lang w:val="es-ES_tradnl"/>
        </w:rPr>
        <w:t xml:space="preserve"> (véase SAICM/ICCM.4/INF/7);</w:t>
      </w:r>
    </w:p>
    <w:p w:rsidR="00AF2579" w:rsidRPr="00100F71" w:rsidRDefault="00AF2579" w:rsidP="00100F71">
      <w:pPr>
        <w:pStyle w:val="Normalnumber"/>
        <w:numPr>
          <w:ilvl w:val="0"/>
          <w:numId w:val="0"/>
        </w:numPr>
        <w:ind w:left="1247"/>
        <w:rPr>
          <w:lang w:val="es-ES_tradnl"/>
        </w:rPr>
      </w:pPr>
      <w:r w:rsidRPr="00100F71">
        <w:rPr>
          <w:lang w:val="es-ES_tradnl"/>
        </w:rPr>
        <w:t>b)</w:t>
      </w:r>
      <w:r w:rsidRPr="00100F71">
        <w:rPr>
          <w:lang w:val="es-ES_tradnl"/>
        </w:rPr>
        <w:tab/>
      </w:r>
      <w:proofErr w:type="spellStart"/>
      <w:r w:rsidR="00B94534" w:rsidRPr="00100F71">
        <w:rPr>
          <w:lang w:val="es-ES_tradnl"/>
        </w:rPr>
        <w:t>Update</w:t>
      </w:r>
      <w:proofErr w:type="spellEnd"/>
      <w:r w:rsidR="00B94534" w:rsidRPr="00100F71">
        <w:rPr>
          <w:lang w:val="es-ES_tradnl"/>
        </w:rPr>
        <w:t xml:space="preserve"> </w:t>
      </w:r>
      <w:proofErr w:type="spellStart"/>
      <w:r w:rsidR="00B94534" w:rsidRPr="00100F71">
        <w:rPr>
          <w:lang w:val="es-ES_tradnl"/>
        </w:rPr>
        <w:t>from</w:t>
      </w:r>
      <w:proofErr w:type="spellEnd"/>
      <w:r w:rsidR="00B94534" w:rsidRPr="00100F71">
        <w:rPr>
          <w:lang w:val="es-ES_tradnl"/>
        </w:rPr>
        <w:t xml:space="preserve"> </w:t>
      </w:r>
      <w:proofErr w:type="spellStart"/>
      <w:r w:rsidR="00B94534" w:rsidRPr="00100F71">
        <w:rPr>
          <w:lang w:val="es-ES_tradnl"/>
        </w:rPr>
        <w:t>the</w:t>
      </w:r>
      <w:proofErr w:type="spellEnd"/>
      <w:r w:rsidR="00B94534" w:rsidRPr="00100F71">
        <w:rPr>
          <w:lang w:val="es-ES_tradnl"/>
        </w:rPr>
        <w:t xml:space="preserve"> Global </w:t>
      </w:r>
      <w:proofErr w:type="spellStart"/>
      <w:r w:rsidR="00B94534" w:rsidRPr="00100F71">
        <w:rPr>
          <w:lang w:val="es-ES_tradnl"/>
        </w:rPr>
        <w:t>Environment</w:t>
      </w:r>
      <w:proofErr w:type="spellEnd"/>
      <w:r w:rsidR="00B94534" w:rsidRPr="00100F71">
        <w:rPr>
          <w:lang w:val="es-ES_tradnl"/>
        </w:rPr>
        <w:t xml:space="preserve"> </w:t>
      </w:r>
      <w:proofErr w:type="spellStart"/>
      <w:r w:rsidR="00B94534" w:rsidRPr="00100F71">
        <w:rPr>
          <w:lang w:val="es-ES_tradnl"/>
        </w:rPr>
        <w:t>Facility</w:t>
      </w:r>
      <w:proofErr w:type="spellEnd"/>
      <w:r w:rsidR="00B94534" w:rsidRPr="00100F71">
        <w:rPr>
          <w:lang w:val="es-ES_tradnl"/>
        </w:rPr>
        <w:t xml:space="preserve"> (</w:t>
      </w:r>
      <w:r w:rsidRPr="00100F71">
        <w:rPr>
          <w:lang w:val="es-ES_tradnl"/>
        </w:rPr>
        <w:t>Actualización del Fondo para el Medio Ambiente Mundial</w:t>
      </w:r>
      <w:r w:rsidR="00B94534" w:rsidRPr="00100F71">
        <w:rPr>
          <w:lang w:val="es-ES_tradnl"/>
        </w:rPr>
        <w:t>)</w:t>
      </w:r>
      <w:r w:rsidRPr="00100F71">
        <w:rPr>
          <w:lang w:val="es-ES_tradnl"/>
        </w:rPr>
        <w:t xml:space="preserve"> (véase SAICM/ICCM.4/INF/8);</w:t>
      </w:r>
    </w:p>
    <w:p w:rsidR="00AF2579" w:rsidRPr="00100F71" w:rsidRDefault="00AF2579" w:rsidP="00100F71">
      <w:pPr>
        <w:pStyle w:val="Normalnumber"/>
        <w:numPr>
          <w:ilvl w:val="0"/>
          <w:numId w:val="0"/>
        </w:numPr>
        <w:ind w:left="1247"/>
        <w:rPr>
          <w:lang w:val="es-ES_tradnl"/>
        </w:rPr>
      </w:pPr>
      <w:r w:rsidRPr="00100F71">
        <w:rPr>
          <w:lang w:val="es-ES_tradnl"/>
        </w:rPr>
        <w:t>c)</w:t>
      </w:r>
      <w:r w:rsidRPr="00100F71">
        <w:rPr>
          <w:lang w:val="es-ES_tradnl"/>
        </w:rPr>
        <w:tab/>
      </w:r>
      <w:proofErr w:type="spellStart"/>
      <w:r w:rsidR="00B94534" w:rsidRPr="00100F71">
        <w:rPr>
          <w:lang w:val="es-ES_tradnl"/>
        </w:rPr>
        <w:t>Progress</w:t>
      </w:r>
      <w:proofErr w:type="spellEnd"/>
      <w:r w:rsidR="00B94534" w:rsidRPr="00100F71">
        <w:rPr>
          <w:lang w:val="es-ES_tradnl"/>
        </w:rPr>
        <w:t xml:space="preserve"> </w:t>
      </w:r>
      <w:proofErr w:type="spellStart"/>
      <w:r w:rsidR="00B94534" w:rsidRPr="00100F71">
        <w:rPr>
          <w:lang w:val="es-ES_tradnl"/>
        </w:rPr>
        <w:t>report</w:t>
      </w:r>
      <w:proofErr w:type="spellEnd"/>
      <w:r w:rsidR="00B94534" w:rsidRPr="00100F71">
        <w:rPr>
          <w:lang w:val="es-ES_tradnl"/>
        </w:rPr>
        <w:t xml:space="preserve"> </w:t>
      </w:r>
      <w:proofErr w:type="spellStart"/>
      <w:r w:rsidR="00B94534" w:rsidRPr="00100F71">
        <w:rPr>
          <w:lang w:val="es-ES_tradnl"/>
        </w:rPr>
        <w:t>on</w:t>
      </w:r>
      <w:proofErr w:type="spellEnd"/>
      <w:r w:rsidR="00B94534" w:rsidRPr="00100F71">
        <w:rPr>
          <w:lang w:val="es-ES_tradnl"/>
        </w:rPr>
        <w:t xml:space="preserve"> </w:t>
      </w:r>
      <w:proofErr w:type="spellStart"/>
      <w:r w:rsidR="00B94534" w:rsidRPr="00100F71">
        <w:rPr>
          <w:lang w:val="es-ES_tradnl"/>
        </w:rPr>
        <w:t>the</w:t>
      </w:r>
      <w:proofErr w:type="spellEnd"/>
      <w:r w:rsidR="00B94534" w:rsidRPr="00100F71">
        <w:rPr>
          <w:lang w:val="es-ES_tradnl"/>
        </w:rPr>
        <w:t xml:space="preserve"> </w:t>
      </w:r>
      <w:proofErr w:type="spellStart"/>
      <w:r w:rsidR="00B94534" w:rsidRPr="00100F71">
        <w:rPr>
          <w:lang w:val="es-ES_tradnl"/>
        </w:rPr>
        <w:t>Special</w:t>
      </w:r>
      <w:proofErr w:type="spellEnd"/>
      <w:r w:rsidR="00B94534" w:rsidRPr="00100F71">
        <w:rPr>
          <w:lang w:val="es-ES_tradnl"/>
        </w:rPr>
        <w:t xml:space="preserve"> </w:t>
      </w:r>
      <w:proofErr w:type="spellStart"/>
      <w:r w:rsidR="00B94534" w:rsidRPr="00100F71">
        <w:rPr>
          <w:lang w:val="es-ES_tradnl"/>
        </w:rPr>
        <w:t>Programme</w:t>
      </w:r>
      <w:proofErr w:type="spellEnd"/>
      <w:r w:rsidR="00B94534" w:rsidRPr="00100F71">
        <w:rPr>
          <w:lang w:val="es-ES_tradnl"/>
        </w:rPr>
        <w:t xml:space="preserve"> </w:t>
      </w:r>
      <w:proofErr w:type="spellStart"/>
      <w:r w:rsidR="00B94534" w:rsidRPr="00100F71">
        <w:rPr>
          <w:lang w:val="es-ES_tradnl"/>
        </w:rPr>
        <w:t>to</w:t>
      </w:r>
      <w:proofErr w:type="spellEnd"/>
      <w:r w:rsidR="00B94534" w:rsidRPr="00100F71">
        <w:rPr>
          <w:lang w:val="es-ES_tradnl"/>
        </w:rPr>
        <w:t xml:space="preserve"> </w:t>
      </w:r>
      <w:proofErr w:type="spellStart"/>
      <w:r w:rsidR="00B94534" w:rsidRPr="00100F71">
        <w:rPr>
          <w:lang w:val="es-ES_tradnl"/>
        </w:rPr>
        <w:t>support</w:t>
      </w:r>
      <w:proofErr w:type="spellEnd"/>
      <w:r w:rsidR="00B94534" w:rsidRPr="00100F71">
        <w:rPr>
          <w:lang w:val="es-ES_tradnl"/>
        </w:rPr>
        <w:t xml:space="preserve"> </w:t>
      </w:r>
      <w:proofErr w:type="spellStart"/>
      <w:r w:rsidR="00B94534" w:rsidRPr="00100F71">
        <w:rPr>
          <w:lang w:val="es-ES_tradnl"/>
        </w:rPr>
        <w:t>institutional</w:t>
      </w:r>
      <w:proofErr w:type="spellEnd"/>
      <w:r w:rsidR="00B94534" w:rsidRPr="00100F71">
        <w:rPr>
          <w:lang w:val="es-ES_tradnl"/>
        </w:rPr>
        <w:t xml:space="preserve"> </w:t>
      </w:r>
      <w:proofErr w:type="spellStart"/>
      <w:r w:rsidR="00B94534" w:rsidRPr="00100F71">
        <w:rPr>
          <w:lang w:val="es-ES_tradnl"/>
        </w:rPr>
        <w:t>strengthening</w:t>
      </w:r>
      <w:proofErr w:type="spellEnd"/>
      <w:r w:rsidR="00B94534" w:rsidRPr="00100F71">
        <w:rPr>
          <w:lang w:val="es-ES_tradnl"/>
        </w:rPr>
        <w:t xml:space="preserve"> at </w:t>
      </w:r>
      <w:proofErr w:type="spellStart"/>
      <w:r w:rsidR="00B94534" w:rsidRPr="00100F71">
        <w:rPr>
          <w:lang w:val="es-ES_tradnl"/>
        </w:rPr>
        <w:t>the</w:t>
      </w:r>
      <w:proofErr w:type="spellEnd"/>
      <w:r w:rsidR="00B94534" w:rsidRPr="00100F71">
        <w:rPr>
          <w:lang w:val="es-ES_tradnl"/>
        </w:rPr>
        <w:t xml:space="preserve"> </w:t>
      </w:r>
      <w:proofErr w:type="spellStart"/>
      <w:r w:rsidR="00B94534" w:rsidRPr="00100F71">
        <w:rPr>
          <w:lang w:val="es-ES_tradnl"/>
        </w:rPr>
        <w:t>national</w:t>
      </w:r>
      <w:proofErr w:type="spellEnd"/>
      <w:r w:rsidR="00B94534" w:rsidRPr="00100F71">
        <w:rPr>
          <w:lang w:val="es-ES_tradnl"/>
        </w:rPr>
        <w:t xml:space="preserve"> </w:t>
      </w:r>
      <w:proofErr w:type="spellStart"/>
      <w:r w:rsidR="00B94534" w:rsidRPr="00100F71">
        <w:rPr>
          <w:lang w:val="es-ES_tradnl"/>
        </w:rPr>
        <w:t>level</w:t>
      </w:r>
      <w:proofErr w:type="spellEnd"/>
      <w:r w:rsidR="00B94534" w:rsidRPr="00100F71">
        <w:rPr>
          <w:lang w:val="es-ES_tradnl"/>
        </w:rPr>
        <w:t xml:space="preserve"> </w:t>
      </w:r>
      <w:proofErr w:type="spellStart"/>
      <w:r w:rsidR="00B94534" w:rsidRPr="00100F71">
        <w:rPr>
          <w:lang w:val="es-ES_tradnl"/>
        </w:rPr>
        <w:t>for</w:t>
      </w:r>
      <w:proofErr w:type="spellEnd"/>
      <w:r w:rsidR="00B94534" w:rsidRPr="00100F71">
        <w:rPr>
          <w:lang w:val="es-ES_tradnl"/>
        </w:rPr>
        <w:t xml:space="preserve"> </w:t>
      </w:r>
      <w:proofErr w:type="spellStart"/>
      <w:r w:rsidR="00B94534" w:rsidRPr="00100F71">
        <w:rPr>
          <w:lang w:val="es-ES_tradnl"/>
        </w:rPr>
        <w:t>implementation</w:t>
      </w:r>
      <w:proofErr w:type="spellEnd"/>
      <w:r w:rsidR="00B94534" w:rsidRPr="00100F71">
        <w:rPr>
          <w:lang w:val="es-ES_tradnl"/>
        </w:rPr>
        <w:t xml:space="preserve"> of </w:t>
      </w:r>
      <w:proofErr w:type="spellStart"/>
      <w:r w:rsidR="00B94534" w:rsidRPr="00100F71">
        <w:rPr>
          <w:lang w:val="es-ES_tradnl"/>
        </w:rPr>
        <w:t>the</w:t>
      </w:r>
      <w:proofErr w:type="spellEnd"/>
      <w:r w:rsidR="00B94534" w:rsidRPr="00100F71">
        <w:rPr>
          <w:lang w:val="es-ES_tradnl"/>
        </w:rPr>
        <w:t xml:space="preserve"> </w:t>
      </w:r>
      <w:proofErr w:type="spellStart"/>
      <w:r w:rsidR="00B94534" w:rsidRPr="00100F71">
        <w:rPr>
          <w:lang w:val="es-ES_tradnl"/>
        </w:rPr>
        <w:t>Basel</w:t>
      </w:r>
      <w:proofErr w:type="spellEnd"/>
      <w:r w:rsidR="00B94534" w:rsidRPr="00100F71">
        <w:rPr>
          <w:lang w:val="es-ES_tradnl"/>
        </w:rPr>
        <w:t xml:space="preserve">, Rotterdam and </w:t>
      </w:r>
      <w:proofErr w:type="spellStart"/>
      <w:r w:rsidR="00B94534" w:rsidRPr="00100F71">
        <w:rPr>
          <w:lang w:val="es-ES_tradnl"/>
        </w:rPr>
        <w:t>Stockholm</w:t>
      </w:r>
      <w:proofErr w:type="spellEnd"/>
      <w:r w:rsidR="00B94534" w:rsidRPr="00100F71">
        <w:rPr>
          <w:lang w:val="es-ES_tradnl"/>
        </w:rPr>
        <w:t xml:space="preserve"> </w:t>
      </w:r>
      <w:proofErr w:type="spellStart"/>
      <w:r w:rsidR="00B94534" w:rsidRPr="00100F71">
        <w:rPr>
          <w:lang w:val="es-ES_tradnl"/>
        </w:rPr>
        <w:t>conventions</w:t>
      </w:r>
      <w:proofErr w:type="spellEnd"/>
      <w:r w:rsidR="00B94534" w:rsidRPr="00100F71">
        <w:rPr>
          <w:lang w:val="es-ES_tradnl"/>
        </w:rPr>
        <w:t xml:space="preserve">, </w:t>
      </w:r>
      <w:proofErr w:type="spellStart"/>
      <w:r w:rsidR="00B94534" w:rsidRPr="00100F71">
        <w:rPr>
          <w:lang w:val="es-ES_tradnl"/>
        </w:rPr>
        <w:t>the</w:t>
      </w:r>
      <w:proofErr w:type="spellEnd"/>
      <w:r w:rsidR="00B94534" w:rsidRPr="00100F71">
        <w:rPr>
          <w:lang w:val="es-ES_tradnl"/>
        </w:rPr>
        <w:t xml:space="preserve"> </w:t>
      </w:r>
      <w:proofErr w:type="spellStart"/>
      <w:r w:rsidR="00B94534" w:rsidRPr="00100F71">
        <w:rPr>
          <w:lang w:val="es-ES_tradnl"/>
        </w:rPr>
        <w:t>Minamata</w:t>
      </w:r>
      <w:proofErr w:type="spellEnd"/>
      <w:r w:rsidR="00B94534" w:rsidRPr="00100F71">
        <w:rPr>
          <w:lang w:val="es-ES_tradnl"/>
        </w:rPr>
        <w:t xml:space="preserve"> </w:t>
      </w:r>
      <w:proofErr w:type="spellStart"/>
      <w:r w:rsidR="00B94534" w:rsidRPr="00100F71">
        <w:rPr>
          <w:lang w:val="es-ES_tradnl"/>
        </w:rPr>
        <w:t>Convention</w:t>
      </w:r>
      <w:proofErr w:type="spellEnd"/>
      <w:r w:rsidR="00B94534" w:rsidRPr="00100F71">
        <w:rPr>
          <w:lang w:val="es-ES_tradnl"/>
        </w:rPr>
        <w:t xml:space="preserve"> and </w:t>
      </w:r>
      <w:proofErr w:type="spellStart"/>
      <w:r w:rsidR="00B94534" w:rsidRPr="00100F71">
        <w:rPr>
          <w:lang w:val="es-ES_tradnl"/>
        </w:rPr>
        <w:t>the</w:t>
      </w:r>
      <w:proofErr w:type="spellEnd"/>
      <w:r w:rsidR="00B94534" w:rsidRPr="00100F71">
        <w:rPr>
          <w:lang w:val="es-ES_tradnl"/>
        </w:rPr>
        <w:t xml:space="preserve"> </w:t>
      </w:r>
      <w:proofErr w:type="spellStart"/>
      <w:r w:rsidR="00B94534" w:rsidRPr="00100F71">
        <w:rPr>
          <w:lang w:val="es-ES_tradnl"/>
        </w:rPr>
        <w:t>Strategic</w:t>
      </w:r>
      <w:proofErr w:type="spellEnd"/>
      <w:r w:rsidR="00B94534" w:rsidRPr="00100F71">
        <w:rPr>
          <w:lang w:val="es-ES_tradnl"/>
        </w:rPr>
        <w:t xml:space="preserve"> </w:t>
      </w:r>
      <w:proofErr w:type="spellStart"/>
      <w:r w:rsidR="00B94534" w:rsidRPr="00100F71">
        <w:rPr>
          <w:lang w:val="es-ES_tradnl"/>
        </w:rPr>
        <w:t>Approach</w:t>
      </w:r>
      <w:proofErr w:type="spellEnd"/>
      <w:r w:rsidR="00B94534" w:rsidRPr="00100F71">
        <w:rPr>
          <w:lang w:val="es-ES_tradnl"/>
        </w:rPr>
        <w:t xml:space="preserve"> </w:t>
      </w:r>
      <w:proofErr w:type="spellStart"/>
      <w:r w:rsidR="00B94534" w:rsidRPr="00100F71">
        <w:rPr>
          <w:lang w:val="es-ES_tradnl"/>
        </w:rPr>
        <w:t>to</w:t>
      </w:r>
      <w:proofErr w:type="spellEnd"/>
      <w:r w:rsidR="00B94534" w:rsidRPr="00100F71">
        <w:rPr>
          <w:lang w:val="es-ES_tradnl"/>
        </w:rPr>
        <w:t xml:space="preserve"> International </w:t>
      </w:r>
      <w:proofErr w:type="spellStart"/>
      <w:r w:rsidR="00B94534" w:rsidRPr="00100F71">
        <w:rPr>
          <w:lang w:val="es-ES_tradnl"/>
        </w:rPr>
        <w:t>Chemicals</w:t>
      </w:r>
      <w:proofErr w:type="spellEnd"/>
      <w:r w:rsidR="00B94534" w:rsidRPr="00100F71">
        <w:rPr>
          <w:lang w:val="es-ES_tradnl"/>
        </w:rPr>
        <w:t xml:space="preserve"> Management (</w:t>
      </w:r>
      <w:r w:rsidRPr="00100F71">
        <w:rPr>
          <w:lang w:val="es-ES_tradnl"/>
        </w:rPr>
        <w:t xml:space="preserve">Informe sobre la marcha de los trabajos del Programa Especial de apoyo al fortalecimiento institucional a nivel nacional para la aplicación de los Convenios de Basilea, Estocolmo y Rotterdam, </w:t>
      </w:r>
      <w:r w:rsidR="006D4A3A">
        <w:rPr>
          <w:lang w:val="es-ES_tradnl"/>
        </w:rPr>
        <w:t xml:space="preserve">el Convenio de </w:t>
      </w:r>
      <w:proofErr w:type="spellStart"/>
      <w:r w:rsidR="006D4A3A">
        <w:rPr>
          <w:lang w:val="es-ES_tradnl"/>
        </w:rPr>
        <w:t>Minamata</w:t>
      </w:r>
      <w:proofErr w:type="spellEnd"/>
      <w:r w:rsidR="006D4A3A">
        <w:rPr>
          <w:lang w:val="es-ES_tradnl"/>
        </w:rPr>
        <w:t xml:space="preserve"> y el </w:t>
      </w:r>
      <w:r w:rsidRPr="00100F71">
        <w:rPr>
          <w:lang w:val="es-ES_tradnl"/>
        </w:rPr>
        <w:t>Enfoque Estratégico para la Gestión de los Productos Químicos a Nivel Internacional</w:t>
      </w:r>
      <w:r w:rsidR="00B94534" w:rsidRPr="00100F71">
        <w:rPr>
          <w:lang w:val="es-ES_tradnl"/>
        </w:rPr>
        <w:t>)</w:t>
      </w:r>
      <w:r w:rsidR="006D4A3A">
        <w:rPr>
          <w:lang w:val="es-ES_tradnl"/>
        </w:rPr>
        <w:t xml:space="preserve"> (véase </w:t>
      </w:r>
      <w:r w:rsidRPr="00100F71">
        <w:rPr>
          <w:lang w:val="es-ES_tradnl"/>
        </w:rPr>
        <w:t>SAICM/ICCM.4/INF/9);</w:t>
      </w:r>
    </w:p>
    <w:p w:rsidR="00AF2579" w:rsidRPr="00100F71" w:rsidRDefault="00AF2579" w:rsidP="00100F71">
      <w:pPr>
        <w:pStyle w:val="Normalnumber"/>
        <w:numPr>
          <w:ilvl w:val="0"/>
          <w:numId w:val="0"/>
        </w:numPr>
        <w:ind w:left="1247"/>
        <w:rPr>
          <w:lang w:val="es-ES_tradnl"/>
        </w:rPr>
      </w:pPr>
      <w:r w:rsidRPr="00100F71">
        <w:rPr>
          <w:lang w:val="es-ES_tradnl"/>
        </w:rPr>
        <w:t>d)</w:t>
      </w:r>
      <w:r w:rsidRPr="00100F71">
        <w:rPr>
          <w:lang w:val="es-ES_tradnl"/>
        </w:rPr>
        <w:tab/>
      </w:r>
      <w:proofErr w:type="spellStart"/>
      <w:r w:rsidR="00B94534" w:rsidRPr="00100F71">
        <w:rPr>
          <w:lang w:val="es-ES_tradnl"/>
        </w:rPr>
        <w:t>List</w:t>
      </w:r>
      <w:proofErr w:type="spellEnd"/>
      <w:r w:rsidR="00B94534" w:rsidRPr="00100F71">
        <w:rPr>
          <w:lang w:val="es-ES_tradnl"/>
        </w:rPr>
        <w:t xml:space="preserve"> of </w:t>
      </w:r>
      <w:proofErr w:type="spellStart"/>
      <w:r w:rsidR="00B94534" w:rsidRPr="00100F71">
        <w:rPr>
          <w:lang w:val="es-ES_tradnl"/>
        </w:rPr>
        <w:t>possible</w:t>
      </w:r>
      <w:proofErr w:type="spellEnd"/>
      <w:r w:rsidR="00B94534" w:rsidRPr="00100F71">
        <w:rPr>
          <w:lang w:val="es-ES_tradnl"/>
        </w:rPr>
        <w:t xml:space="preserve"> </w:t>
      </w:r>
      <w:proofErr w:type="spellStart"/>
      <w:r w:rsidR="00B94534" w:rsidRPr="00100F71">
        <w:rPr>
          <w:lang w:val="es-ES_tradnl"/>
        </w:rPr>
        <w:t>funding</w:t>
      </w:r>
      <w:proofErr w:type="spellEnd"/>
      <w:r w:rsidR="00B94534" w:rsidRPr="00100F71">
        <w:rPr>
          <w:lang w:val="es-ES_tradnl"/>
        </w:rPr>
        <w:t xml:space="preserve"> </w:t>
      </w:r>
      <w:proofErr w:type="spellStart"/>
      <w:r w:rsidR="00B94534" w:rsidRPr="00100F71">
        <w:rPr>
          <w:lang w:val="es-ES_tradnl"/>
        </w:rPr>
        <w:t>sources</w:t>
      </w:r>
      <w:proofErr w:type="spellEnd"/>
      <w:r w:rsidR="00B94534" w:rsidRPr="00100F71">
        <w:rPr>
          <w:lang w:val="es-ES_tradnl"/>
        </w:rPr>
        <w:t xml:space="preserve"> </w:t>
      </w:r>
      <w:proofErr w:type="spellStart"/>
      <w:r w:rsidR="00B94534" w:rsidRPr="00100F71">
        <w:rPr>
          <w:lang w:val="es-ES_tradnl"/>
        </w:rPr>
        <w:t>to</w:t>
      </w:r>
      <w:proofErr w:type="spellEnd"/>
      <w:r w:rsidR="00B94534" w:rsidRPr="00100F71">
        <w:rPr>
          <w:lang w:val="es-ES_tradnl"/>
        </w:rPr>
        <w:t xml:space="preserve"> </w:t>
      </w:r>
      <w:proofErr w:type="spellStart"/>
      <w:r w:rsidR="00B94534" w:rsidRPr="00100F71">
        <w:rPr>
          <w:lang w:val="es-ES_tradnl"/>
        </w:rPr>
        <w:t>support</w:t>
      </w:r>
      <w:proofErr w:type="spellEnd"/>
      <w:r w:rsidR="00B94534" w:rsidRPr="00100F71">
        <w:rPr>
          <w:lang w:val="es-ES_tradnl"/>
        </w:rPr>
        <w:t xml:space="preserve"> </w:t>
      </w:r>
      <w:proofErr w:type="spellStart"/>
      <w:r w:rsidR="00B94534" w:rsidRPr="00100F71">
        <w:rPr>
          <w:lang w:val="es-ES_tradnl"/>
        </w:rPr>
        <w:t>the</w:t>
      </w:r>
      <w:proofErr w:type="spellEnd"/>
      <w:r w:rsidR="00B94534" w:rsidRPr="00100F71">
        <w:rPr>
          <w:lang w:val="es-ES_tradnl"/>
        </w:rPr>
        <w:t xml:space="preserve"> </w:t>
      </w:r>
      <w:proofErr w:type="spellStart"/>
      <w:r w:rsidR="00B94534" w:rsidRPr="00100F71">
        <w:rPr>
          <w:lang w:val="es-ES_tradnl"/>
        </w:rPr>
        <w:t>sound</w:t>
      </w:r>
      <w:proofErr w:type="spellEnd"/>
      <w:r w:rsidR="00B94534" w:rsidRPr="00100F71">
        <w:rPr>
          <w:lang w:val="es-ES_tradnl"/>
        </w:rPr>
        <w:t xml:space="preserve"> </w:t>
      </w:r>
      <w:proofErr w:type="spellStart"/>
      <w:r w:rsidR="00B94534" w:rsidRPr="00100F71">
        <w:rPr>
          <w:lang w:val="es-ES_tradnl"/>
        </w:rPr>
        <w:t>management</w:t>
      </w:r>
      <w:proofErr w:type="spellEnd"/>
      <w:r w:rsidR="00B94534" w:rsidRPr="00100F71">
        <w:rPr>
          <w:lang w:val="es-ES_tradnl"/>
        </w:rPr>
        <w:t xml:space="preserve"> of </w:t>
      </w:r>
      <w:proofErr w:type="spellStart"/>
      <w:r w:rsidR="00B94534" w:rsidRPr="00100F71">
        <w:rPr>
          <w:lang w:val="es-ES_tradnl"/>
        </w:rPr>
        <w:t>chemicals</w:t>
      </w:r>
      <w:proofErr w:type="spellEnd"/>
      <w:r w:rsidR="00B94534" w:rsidRPr="00100F71">
        <w:rPr>
          <w:lang w:val="es-ES_tradnl"/>
        </w:rPr>
        <w:t xml:space="preserve"> (</w:t>
      </w:r>
      <w:r w:rsidRPr="00100F71">
        <w:rPr>
          <w:lang w:val="es-ES_tradnl"/>
        </w:rPr>
        <w:t>Lista de posibles fuentes de financiación para apoyar la gestión racional de los productos químicos</w:t>
      </w:r>
      <w:r w:rsidR="00B94534" w:rsidRPr="00100F71">
        <w:rPr>
          <w:lang w:val="es-ES_tradnl"/>
        </w:rPr>
        <w:t>)</w:t>
      </w:r>
      <w:r w:rsidRPr="00100F71">
        <w:rPr>
          <w:lang w:val="es-ES_tradnl"/>
        </w:rPr>
        <w:t xml:space="preserve"> (véase SAICM/ICCM.4/INF/10);</w:t>
      </w:r>
    </w:p>
    <w:p w:rsidR="00AF2579" w:rsidRPr="00100F71" w:rsidRDefault="00AF2579" w:rsidP="00100F71">
      <w:pPr>
        <w:pStyle w:val="Normalnumber"/>
        <w:numPr>
          <w:ilvl w:val="0"/>
          <w:numId w:val="0"/>
        </w:numPr>
        <w:ind w:left="1247"/>
        <w:rPr>
          <w:lang w:val="es-ES_tradnl"/>
        </w:rPr>
      </w:pPr>
      <w:r w:rsidRPr="00100F71">
        <w:rPr>
          <w:lang w:val="es-ES_tradnl"/>
        </w:rPr>
        <w:t>e)</w:t>
      </w:r>
      <w:r w:rsidRPr="00100F71">
        <w:rPr>
          <w:lang w:val="es-ES_tradnl"/>
        </w:rPr>
        <w:tab/>
      </w:r>
      <w:proofErr w:type="spellStart"/>
      <w:r w:rsidR="00B94534" w:rsidRPr="00100F71">
        <w:rPr>
          <w:lang w:val="es-ES_tradnl"/>
        </w:rPr>
        <w:t>Priorities</w:t>
      </w:r>
      <w:proofErr w:type="spellEnd"/>
      <w:r w:rsidR="00B94534" w:rsidRPr="00100F71">
        <w:rPr>
          <w:lang w:val="es-ES_tradnl"/>
        </w:rPr>
        <w:t xml:space="preserve"> of </w:t>
      </w:r>
      <w:proofErr w:type="spellStart"/>
      <w:r w:rsidR="00B94534" w:rsidRPr="00100F71">
        <w:rPr>
          <w:lang w:val="es-ES_tradnl"/>
        </w:rPr>
        <w:t>the</w:t>
      </w:r>
      <w:proofErr w:type="spellEnd"/>
      <w:r w:rsidR="00B94534" w:rsidRPr="00100F71">
        <w:rPr>
          <w:lang w:val="es-ES_tradnl"/>
        </w:rPr>
        <w:t xml:space="preserve"> </w:t>
      </w:r>
      <w:proofErr w:type="spellStart"/>
      <w:r w:rsidR="00B94534" w:rsidRPr="00100F71">
        <w:rPr>
          <w:lang w:val="es-ES_tradnl"/>
        </w:rPr>
        <w:t>health</w:t>
      </w:r>
      <w:proofErr w:type="spellEnd"/>
      <w:r w:rsidR="00B94534" w:rsidRPr="00100F71">
        <w:rPr>
          <w:lang w:val="es-ES_tradnl"/>
        </w:rPr>
        <w:t xml:space="preserve"> sector </w:t>
      </w:r>
      <w:proofErr w:type="spellStart"/>
      <w:r w:rsidR="00B94534" w:rsidRPr="00100F71">
        <w:rPr>
          <w:lang w:val="es-ES_tradnl"/>
        </w:rPr>
        <w:t>towards</w:t>
      </w:r>
      <w:proofErr w:type="spellEnd"/>
      <w:r w:rsidR="00B94534" w:rsidRPr="00100F71">
        <w:rPr>
          <w:lang w:val="es-ES_tradnl"/>
        </w:rPr>
        <w:t xml:space="preserve"> </w:t>
      </w:r>
      <w:proofErr w:type="spellStart"/>
      <w:r w:rsidR="00B94534" w:rsidRPr="00100F71">
        <w:rPr>
          <w:lang w:val="es-ES_tradnl"/>
        </w:rPr>
        <w:t>achievement</w:t>
      </w:r>
      <w:proofErr w:type="spellEnd"/>
      <w:r w:rsidR="00B94534" w:rsidRPr="00100F71">
        <w:rPr>
          <w:lang w:val="es-ES_tradnl"/>
        </w:rPr>
        <w:t xml:space="preserve"> of </w:t>
      </w:r>
      <w:proofErr w:type="spellStart"/>
      <w:r w:rsidR="00B94534" w:rsidRPr="00100F71">
        <w:rPr>
          <w:lang w:val="es-ES_tradnl"/>
        </w:rPr>
        <w:t>the</w:t>
      </w:r>
      <w:proofErr w:type="spellEnd"/>
      <w:r w:rsidR="00B94534" w:rsidRPr="00100F71">
        <w:rPr>
          <w:lang w:val="es-ES_tradnl"/>
        </w:rPr>
        <w:t xml:space="preserve"> 2020 </w:t>
      </w:r>
      <w:proofErr w:type="spellStart"/>
      <w:r w:rsidR="00B94534" w:rsidRPr="00100F71">
        <w:rPr>
          <w:lang w:val="es-ES_tradnl"/>
        </w:rPr>
        <w:t>goal</w:t>
      </w:r>
      <w:proofErr w:type="spellEnd"/>
      <w:r w:rsidR="00B94534" w:rsidRPr="00100F71">
        <w:rPr>
          <w:lang w:val="es-ES_tradnl"/>
        </w:rPr>
        <w:t xml:space="preserve"> of </w:t>
      </w:r>
      <w:proofErr w:type="spellStart"/>
      <w:r w:rsidR="00B94534" w:rsidRPr="00100F71">
        <w:rPr>
          <w:lang w:val="es-ES_tradnl"/>
        </w:rPr>
        <w:t>sound</w:t>
      </w:r>
      <w:proofErr w:type="spellEnd"/>
      <w:r w:rsidR="00B94534" w:rsidRPr="00100F71">
        <w:rPr>
          <w:lang w:val="es-ES_tradnl"/>
        </w:rPr>
        <w:t xml:space="preserve"> </w:t>
      </w:r>
      <w:proofErr w:type="spellStart"/>
      <w:r w:rsidR="00B94534" w:rsidRPr="00100F71">
        <w:rPr>
          <w:lang w:val="es-ES_tradnl"/>
        </w:rPr>
        <w:t>chemicals</w:t>
      </w:r>
      <w:proofErr w:type="spellEnd"/>
      <w:r w:rsidR="00B94534" w:rsidRPr="00100F71">
        <w:rPr>
          <w:lang w:val="es-ES_tradnl"/>
        </w:rPr>
        <w:t xml:space="preserve"> </w:t>
      </w:r>
      <w:proofErr w:type="spellStart"/>
      <w:r w:rsidR="00B94534" w:rsidRPr="00100F71">
        <w:rPr>
          <w:lang w:val="es-ES_tradnl"/>
        </w:rPr>
        <w:t>management</w:t>
      </w:r>
      <w:proofErr w:type="spellEnd"/>
      <w:r w:rsidR="00B94534" w:rsidRPr="00100F71">
        <w:rPr>
          <w:lang w:val="es-ES_tradnl"/>
        </w:rPr>
        <w:t xml:space="preserve">: </w:t>
      </w:r>
      <w:proofErr w:type="spellStart"/>
      <w:r w:rsidR="00B94534" w:rsidRPr="00100F71">
        <w:rPr>
          <w:lang w:val="es-ES_tradnl"/>
        </w:rPr>
        <w:t>results</w:t>
      </w:r>
      <w:proofErr w:type="spellEnd"/>
      <w:r w:rsidR="00B94534" w:rsidRPr="00100F71">
        <w:rPr>
          <w:lang w:val="es-ES_tradnl"/>
        </w:rPr>
        <w:t xml:space="preserve"> of WHO </w:t>
      </w:r>
      <w:proofErr w:type="spellStart"/>
      <w:r w:rsidR="00B94534" w:rsidRPr="00100F71">
        <w:rPr>
          <w:lang w:val="es-ES_tradnl"/>
        </w:rPr>
        <w:t>consultation</w:t>
      </w:r>
      <w:proofErr w:type="spellEnd"/>
      <w:r w:rsidR="00B94534" w:rsidRPr="00100F71">
        <w:rPr>
          <w:lang w:val="es-ES_tradnl"/>
        </w:rPr>
        <w:t xml:space="preserve"> (</w:t>
      </w:r>
      <w:r w:rsidRPr="00100F71">
        <w:rPr>
          <w:lang w:val="es-ES_tradnl"/>
        </w:rPr>
        <w:t>Prioridades del sector de la</w:t>
      </w:r>
      <w:r w:rsidR="006D4A3A">
        <w:rPr>
          <w:lang w:val="es-ES_tradnl"/>
        </w:rPr>
        <w:t xml:space="preserve"> salud para alcanzar la meta de </w:t>
      </w:r>
      <w:r w:rsidRPr="00100F71">
        <w:rPr>
          <w:lang w:val="es-ES_tradnl"/>
        </w:rPr>
        <w:t>2020 relativa a la gestión racional de los productos químicos: resultados de las consultas celebradas por la OMS</w:t>
      </w:r>
      <w:r w:rsidR="00B94534" w:rsidRPr="00100F71">
        <w:rPr>
          <w:lang w:val="es-ES_tradnl"/>
        </w:rPr>
        <w:t>)</w:t>
      </w:r>
      <w:r w:rsidR="006536E9">
        <w:rPr>
          <w:lang w:val="es-ES_tradnl"/>
        </w:rPr>
        <w:t xml:space="preserve"> (véase </w:t>
      </w:r>
      <w:r w:rsidRPr="00100F71">
        <w:rPr>
          <w:lang w:val="es-ES_tradnl"/>
        </w:rPr>
        <w:t>SAICM/ICCM.4/INF/11);</w:t>
      </w:r>
    </w:p>
    <w:p w:rsidR="00AF2579" w:rsidRPr="00100F71" w:rsidRDefault="00AF2579" w:rsidP="00100F71">
      <w:pPr>
        <w:pStyle w:val="Normalnumber"/>
        <w:numPr>
          <w:ilvl w:val="0"/>
          <w:numId w:val="0"/>
        </w:numPr>
        <w:ind w:left="1247"/>
        <w:rPr>
          <w:lang w:val="es-ES_tradnl"/>
        </w:rPr>
      </w:pPr>
      <w:r w:rsidRPr="00100F71">
        <w:rPr>
          <w:lang w:val="es-ES_tradnl"/>
        </w:rPr>
        <w:t>f)</w:t>
      </w:r>
      <w:r w:rsidRPr="00100F71">
        <w:rPr>
          <w:lang w:val="es-ES_tradnl"/>
        </w:rPr>
        <w:tab/>
      </w:r>
      <w:proofErr w:type="spellStart"/>
      <w:r w:rsidR="00B94534" w:rsidRPr="00100F71">
        <w:rPr>
          <w:lang w:val="es-ES_tradnl"/>
        </w:rPr>
        <w:t>The</w:t>
      </w:r>
      <w:proofErr w:type="spellEnd"/>
      <w:r w:rsidR="00B94534" w:rsidRPr="00100F71">
        <w:rPr>
          <w:lang w:val="es-ES_tradnl"/>
        </w:rPr>
        <w:t xml:space="preserve"> </w:t>
      </w:r>
      <w:proofErr w:type="spellStart"/>
      <w:r w:rsidR="00B94534" w:rsidRPr="00100F71">
        <w:rPr>
          <w:lang w:val="es-ES_tradnl"/>
        </w:rPr>
        <w:t>integrated</w:t>
      </w:r>
      <w:proofErr w:type="spellEnd"/>
      <w:r w:rsidR="00B94534" w:rsidRPr="00100F71">
        <w:rPr>
          <w:lang w:val="es-ES_tradnl"/>
        </w:rPr>
        <w:t xml:space="preserve"> </w:t>
      </w:r>
      <w:proofErr w:type="spellStart"/>
      <w:r w:rsidR="00B94534" w:rsidRPr="00100F71">
        <w:rPr>
          <w:lang w:val="es-ES_tradnl"/>
        </w:rPr>
        <w:t>approach</w:t>
      </w:r>
      <w:proofErr w:type="spellEnd"/>
      <w:r w:rsidR="00B94534" w:rsidRPr="00100F71">
        <w:rPr>
          <w:lang w:val="es-ES_tradnl"/>
        </w:rPr>
        <w:t xml:space="preserve"> </w:t>
      </w:r>
      <w:proofErr w:type="spellStart"/>
      <w:r w:rsidR="00B94534" w:rsidRPr="00100F71">
        <w:rPr>
          <w:lang w:val="es-ES_tradnl"/>
        </w:rPr>
        <w:t>to</w:t>
      </w:r>
      <w:proofErr w:type="spellEnd"/>
      <w:r w:rsidR="00B94534" w:rsidRPr="00100F71">
        <w:rPr>
          <w:lang w:val="es-ES_tradnl"/>
        </w:rPr>
        <w:t xml:space="preserve"> </w:t>
      </w:r>
      <w:proofErr w:type="spellStart"/>
      <w:r w:rsidR="00B94534" w:rsidRPr="00100F71">
        <w:rPr>
          <w:lang w:val="es-ES_tradnl"/>
        </w:rPr>
        <w:t>financing</w:t>
      </w:r>
      <w:proofErr w:type="spellEnd"/>
      <w:r w:rsidR="00B94534" w:rsidRPr="00100F71">
        <w:rPr>
          <w:lang w:val="es-ES_tradnl"/>
        </w:rPr>
        <w:t xml:space="preserve"> </w:t>
      </w:r>
      <w:proofErr w:type="spellStart"/>
      <w:r w:rsidR="00B94534" w:rsidRPr="00100F71">
        <w:rPr>
          <w:lang w:val="es-ES_tradnl"/>
        </w:rPr>
        <w:t>the</w:t>
      </w:r>
      <w:proofErr w:type="spellEnd"/>
      <w:r w:rsidR="00B94534" w:rsidRPr="00100F71">
        <w:rPr>
          <w:lang w:val="es-ES_tradnl"/>
        </w:rPr>
        <w:t xml:space="preserve"> </w:t>
      </w:r>
      <w:proofErr w:type="spellStart"/>
      <w:r w:rsidR="00B94534" w:rsidRPr="00100F71">
        <w:rPr>
          <w:lang w:val="es-ES_tradnl"/>
        </w:rPr>
        <w:t>sound</w:t>
      </w:r>
      <w:proofErr w:type="spellEnd"/>
      <w:r w:rsidR="00B94534" w:rsidRPr="00100F71">
        <w:rPr>
          <w:lang w:val="es-ES_tradnl"/>
        </w:rPr>
        <w:t xml:space="preserve"> </w:t>
      </w:r>
      <w:proofErr w:type="spellStart"/>
      <w:r w:rsidR="00B94534" w:rsidRPr="00100F71">
        <w:rPr>
          <w:lang w:val="es-ES_tradnl"/>
        </w:rPr>
        <w:t>management</w:t>
      </w:r>
      <w:proofErr w:type="spellEnd"/>
      <w:r w:rsidR="00B94534" w:rsidRPr="00100F71">
        <w:rPr>
          <w:lang w:val="es-ES_tradnl"/>
        </w:rPr>
        <w:t xml:space="preserve"> of </w:t>
      </w:r>
      <w:proofErr w:type="spellStart"/>
      <w:r w:rsidR="00B94534" w:rsidRPr="00100F71">
        <w:rPr>
          <w:lang w:val="es-ES_tradnl"/>
        </w:rPr>
        <w:t>chemicals</w:t>
      </w:r>
      <w:proofErr w:type="spellEnd"/>
      <w:r w:rsidR="00B94534" w:rsidRPr="00100F71">
        <w:rPr>
          <w:lang w:val="es-ES_tradnl"/>
        </w:rPr>
        <w:t xml:space="preserve"> and </w:t>
      </w:r>
      <w:proofErr w:type="spellStart"/>
      <w:r w:rsidR="00B94534" w:rsidRPr="00100F71">
        <w:rPr>
          <w:lang w:val="es-ES_tradnl"/>
        </w:rPr>
        <w:t>wastes</w:t>
      </w:r>
      <w:proofErr w:type="spellEnd"/>
      <w:r w:rsidR="00B94534" w:rsidRPr="00100F71">
        <w:rPr>
          <w:lang w:val="es-ES_tradnl"/>
        </w:rPr>
        <w:t xml:space="preserve">: </w:t>
      </w:r>
      <w:proofErr w:type="spellStart"/>
      <w:r w:rsidR="00B94534" w:rsidRPr="00100F71">
        <w:rPr>
          <w:lang w:val="es-ES_tradnl"/>
        </w:rPr>
        <w:t>lessons</w:t>
      </w:r>
      <w:proofErr w:type="spellEnd"/>
      <w:r w:rsidR="00B94534" w:rsidRPr="00100F71">
        <w:rPr>
          <w:lang w:val="es-ES_tradnl"/>
        </w:rPr>
        <w:t xml:space="preserve"> </w:t>
      </w:r>
      <w:proofErr w:type="spellStart"/>
      <w:r w:rsidR="00B94534" w:rsidRPr="00100F71">
        <w:rPr>
          <w:lang w:val="es-ES_tradnl"/>
        </w:rPr>
        <w:t>learned</w:t>
      </w:r>
      <w:proofErr w:type="spellEnd"/>
      <w:r w:rsidR="00B94534" w:rsidRPr="00100F71">
        <w:rPr>
          <w:lang w:val="es-ES_tradnl"/>
        </w:rPr>
        <w:t xml:space="preserve"> </w:t>
      </w:r>
      <w:proofErr w:type="spellStart"/>
      <w:r w:rsidR="00B94534" w:rsidRPr="00100F71">
        <w:rPr>
          <w:lang w:val="es-ES_tradnl"/>
        </w:rPr>
        <w:t>on</w:t>
      </w:r>
      <w:proofErr w:type="spellEnd"/>
      <w:r w:rsidR="00B94534" w:rsidRPr="00100F71">
        <w:rPr>
          <w:lang w:val="es-ES_tradnl"/>
        </w:rPr>
        <w:t xml:space="preserve"> </w:t>
      </w:r>
      <w:proofErr w:type="spellStart"/>
      <w:r w:rsidR="00B94534" w:rsidRPr="00100F71">
        <w:rPr>
          <w:lang w:val="es-ES_tradnl"/>
        </w:rPr>
        <w:t>mainstreaming</w:t>
      </w:r>
      <w:proofErr w:type="spellEnd"/>
      <w:r w:rsidR="00B94534" w:rsidRPr="00100F71">
        <w:rPr>
          <w:lang w:val="es-ES_tradnl"/>
        </w:rPr>
        <w:t xml:space="preserve"> (</w:t>
      </w:r>
      <w:r w:rsidRPr="00100F71">
        <w:rPr>
          <w:lang w:val="es-ES_tradnl"/>
        </w:rPr>
        <w:t>El enfoque integrado a la financiación de la gestión racional de los prod</w:t>
      </w:r>
      <w:r w:rsidR="00100F71">
        <w:rPr>
          <w:lang w:val="es-ES_tradnl"/>
        </w:rPr>
        <w:t xml:space="preserve">uctos químicos y los desechos: </w:t>
      </w:r>
      <w:r w:rsidRPr="00100F71">
        <w:rPr>
          <w:lang w:val="es-ES_tradnl"/>
        </w:rPr>
        <w:t>experiencia en materia de incorporación de las cuestiones conexas</w:t>
      </w:r>
      <w:r w:rsidR="00B94534" w:rsidRPr="00100F71">
        <w:rPr>
          <w:lang w:val="es-ES_tradnl"/>
        </w:rPr>
        <w:t>)</w:t>
      </w:r>
      <w:r w:rsidR="006536E9">
        <w:rPr>
          <w:lang w:val="es-ES_tradnl"/>
        </w:rPr>
        <w:t xml:space="preserve"> (véase </w:t>
      </w:r>
      <w:r w:rsidRPr="00100F71">
        <w:rPr>
          <w:lang w:val="es-ES_tradnl"/>
        </w:rPr>
        <w:t>SAICM/ICCM.4/INF/12);</w:t>
      </w:r>
    </w:p>
    <w:p w:rsidR="00AF2579" w:rsidRPr="00100F71" w:rsidRDefault="006D4A3A" w:rsidP="00100F71">
      <w:pPr>
        <w:pStyle w:val="Normalnumber"/>
        <w:numPr>
          <w:ilvl w:val="0"/>
          <w:numId w:val="0"/>
        </w:numPr>
        <w:ind w:left="1247"/>
        <w:rPr>
          <w:lang w:val="es-ES_tradnl"/>
        </w:rPr>
      </w:pPr>
      <w:r>
        <w:rPr>
          <w:lang w:val="es-ES_tradnl"/>
        </w:rPr>
        <w:t>g)</w:t>
      </w:r>
      <w:r>
        <w:rPr>
          <w:lang w:val="es-ES_tradnl"/>
        </w:rPr>
        <w:tab/>
      </w:r>
      <w:proofErr w:type="spellStart"/>
      <w:r w:rsidR="00B94534" w:rsidRPr="00100F71">
        <w:rPr>
          <w:lang w:val="es-ES_tradnl"/>
        </w:rPr>
        <w:t>The</w:t>
      </w:r>
      <w:proofErr w:type="spellEnd"/>
      <w:r w:rsidR="00B94534" w:rsidRPr="00100F71">
        <w:rPr>
          <w:lang w:val="es-ES_tradnl"/>
        </w:rPr>
        <w:t xml:space="preserve"> </w:t>
      </w:r>
      <w:proofErr w:type="spellStart"/>
      <w:r w:rsidR="00B94534" w:rsidRPr="00100F71">
        <w:rPr>
          <w:lang w:val="es-ES_tradnl"/>
        </w:rPr>
        <w:t>integrated</w:t>
      </w:r>
      <w:proofErr w:type="spellEnd"/>
      <w:r w:rsidR="00B94534" w:rsidRPr="00100F71">
        <w:rPr>
          <w:lang w:val="es-ES_tradnl"/>
        </w:rPr>
        <w:t xml:space="preserve"> </w:t>
      </w:r>
      <w:proofErr w:type="spellStart"/>
      <w:r w:rsidR="00B94534" w:rsidRPr="00100F71">
        <w:rPr>
          <w:lang w:val="es-ES_tradnl"/>
        </w:rPr>
        <w:t>approach</w:t>
      </w:r>
      <w:proofErr w:type="spellEnd"/>
      <w:r w:rsidR="00B94534" w:rsidRPr="00100F71">
        <w:rPr>
          <w:lang w:val="es-ES_tradnl"/>
        </w:rPr>
        <w:t xml:space="preserve"> </w:t>
      </w:r>
      <w:proofErr w:type="spellStart"/>
      <w:r w:rsidR="00B94534" w:rsidRPr="00100F71">
        <w:rPr>
          <w:lang w:val="es-ES_tradnl"/>
        </w:rPr>
        <w:t>to</w:t>
      </w:r>
      <w:proofErr w:type="spellEnd"/>
      <w:r w:rsidR="00B94534" w:rsidRPr="00100F71">
        <w:rPr>
          <w:lang w:val="es-ES_tradnl"/>
        </w:rPr>
        <w:t xml:space="preserve"> </w:t>
      </w:r>
      <w:proofErr w:type="spellStart"/>
      <w:r w:rsidR="00B94534" w:rsidRPr="00100F71">
        <w:rPr>
          <w:lang w:val="es-ES_tradnl"/>
        </w:rPr>
        <w:t>financing</w:t>
      </w:r>
      <w:proofErr w:type="spellEnd"/>
      <w:r w:rsidR="00B94534" w:rsidRPr="00100F71">
        <w:rPr>
          <w:lang w:val="es-ES_tradnl"/>
        </w:rPr>
        <w:t xml:space="preserve"> </w:t>
      </w:r>
      <w:proofErr w:type="spellStart"/>
      <w:r w:rsidR="00B94534" w:rsidRPr="00100F71">
        <w:rPr>
          <w:lang w:val="es-ES_tradnl"/>
        </w:rPr>
        <w:t>the</w:t>
      </w:r>
      <w:proofErr w:type="spellEnd"/>
      <w:r w:rsidR="00B94534" w:rsidRPr="00100F71">
        <w:rPr>
          <w:lang w:val="es-ES_tradnl"/>
        </w:rPr>
        <w:t xml:space="preserve"> </w:t>
      </w:r>
      <w:proofErr w:type="spellStart"/>
      <w:r w:rsidR="00B94534" w:rsidRPr="00100F71">
        <w:rPr>
          <w:lang w:val="es-ES_tradnl"/>
        </w:rPr>
        <w:t>sound</w:t>
      </w:r>
      <w:proofErr w:type="spellEnd"/>
      <w:r w:rsidR="00B94534" w:rsidRPr="00100F71">
        <w:rPr>
          <w:lang w:val="es-ES_tradnl"/>
        </w:rPr>
        <w:t xml:space="preserve"> </w:t>
      </w:r>
      <w:proofErr w:type="spellStart"/>
      <w:r w:rsidR="00B94534" w:rsidRPr="00100F71">
        <w:rPr>
          <w:lang w:val="es-ES_tradnl"/>
        </w:rPr>
        <w:t>management</w:t>
      </w:r>
      <w:proofErr w:type="spellEnd"/>
      <w:r w:rsidR="00B94534" w:rsidRPr="00100F71">
        <w:rPr>
          <w:lang w:val="es-ES_tradnl"/>
        </w:rPr>
        <w:t xml:space="preserve"> of </w:t>
      </w:r>
      <w:proofErr w:type="spellStart"/>
      <w:r w:rsidR="00B94534" w:rsidRPr="00100F71">
        <w:rPr>
          <w:lang w:val="es-ES_tradnl"/>
        </w:rPr>
        <w:t>chemicals</w:t>
      </w:r>
      <w:proofErr w:type="spellEnd"/>
      <w:r w:rsidR="00B94534" w:rsidRPr="00100F71">
        <w:rPr>
          <w:lang w:val="es-ES_tradnl"/>
        </w:rPr>
        <w:t xml:space="preserve"> and </w:t>
      </w:r>
      <w:proofErr w:type="spellStart"/>
      <w:r w:rsidR="00B94534" w:rsidRPr="00100F71">
        <w:rPr>
          <w:lang w:val="es-ES_tradnl"/>
        </w:rPr>
        <w:t>wastes</w:t>
      </w:r>
      <w:proofErr w:type="spellEnd"/>
      <w:r w:rsidR="00B94534" w:rsidRPr="00100F71">
        <w:rPr>
          <w:lang w:val="es-ES_tradnl"/>
        </w:rPr>
        <w:t xml:space="preserve">: </w:t>
      </w:r>
      <w:proofErr w:type="spellStart"/>
      <w:r w:rsidR="00B94534" w:rsidRPr="00100F71">
        <w:rPr>
          <w:lang w:val="es-ES_tradnl"/>
        </w:rPr>
        <w:t>industry</w:t>
      </w:r>
      <w:proofErr w:type="spellEnd"/>
      <w:r w:rsidR="00B94534" w:rsidRPr="00100F71">
        <w:rPr>
          <w:lang w:val="es-ES_tradnl"/>
        </w:rPr>
        <w:t xml:space="preserve"> </w:t>
      </w:r>
      <w:proofErr w:type="spellStart"/>
      <w:r w:rsidR="00B94534" w:rsidRPr="00100F71">
        <w:rPr>
          <w:lang w:val="es-ES_tradnl"/>
        </w:rPr>
        <w:t>involvement</w:t>
      </w:r>
      <w:proofErr w:type="spellEnd"/>
      <w:r w:rsidR="00B94534" w:rsidRPr="00100F71">
        <w:rPr>
          <w:lang w:val="es-ES_tradnl"/>
        </w:rPr>
        <w:t xml:space="preserve"> (</w:t>
      </w:r>
      <w:r w:rsidR="00AF2579" w:rsidRPr="00100F71">
        <w:rPr>
          <w:lang w:val="es-ES_tradnl"/>
        </w:rPr>
        <w:t>El enfoque integrado a la financiación de la gestión raci</w:t>
      </w:r>
      <w:r w:rsidR="00100F71">
        <w:rPr>
          <w:lang w:val="es-ES_tradnl"/>
        </w:rPr>
        <w:t xml:space="preserve">onal de los productos químicos </w:t>
      </w:r>
      <w:r w:rsidR="00AF2579" w:rsidRPr="00100F71">
        <w:rPr>
          <w:lang w:val="es-ES_tradnl"/>
        </w:rPr>
        <w:t>y los desechos: participación de la industria</w:t>
      </w:r>
      <w:r w:rsidR="00B94534" w:rsidRPr="00100F71">
        <w:rPr>
          <w:lang w:val="es-ES_tradnl"/>
        </w:rPr>
        <w:t>)</w:t>
      </w:r>
      <w:r w:rsidR="00AF2579" w:rsidRPr="00100F71">
        <w:rPr>
          <w:lang w:val="es-ES_tradnl"/>
        </w:rPr>
        <w:t xml:space="preserve"> (véase SAICM/ICCM.4/INF/13);</w:t>
      </w:r>
    </w:p>
    <w:p w:rsidR="00AF2579" w:rsidRPr="00100F71" w:rsidRDefault="00AF2579" w:rsidP="00100F71">
      <w:pPr>
        <w:pStyle w:val="Normalnumber"/>
        <w:numPr>
          <w:ilvl w:val="0"/>
          <w:numId w:val="0"/>
        </w:numPr>
        <w:ind w:left="1247"/>
        <w:rPr>
          <w:lang w:val="es-ES_tradnl"/>
        </w:rPr>
      </w:pPr>
      <w:r w:rsidRPr="00100F71">
        <w:rPr>
          <w:lang w:val="es-ES_tradnl"/>
        </w:rPr>
        <w:t>h)</w:t>
      </w:r>
      <w:r w:rsidRPr="00100F71">
        <w:rPr>
          <w:lang w:val="es-ES_tradnl"/>
        </w:rPr>
        <w:tab/>
      </w:r>
      <w:proofErr w:type="spellStart"/>
      <w:r w:rsidR="00B94534" w:rsidRPr="00100F71">
        <w:rPr>
          <w:lang w:val="es-ES_tradnl"/>
        </w:rPr>
        <w:t>Resolution</w:t>
      </w:r>
      <w:proofErr w:type="spellEnd"/>
      <w:r w:rsidR="00B94534" w:rsidRPr="00100F71">
        <w:rPr>
          <w:lang w:val="es-ES_tradnl"/>
        </w:rPr>
        <w:t xml:space="preserve"> 1/5 of </w:t>
      </w:r>
      <w:proofErr w:type="spellStart"/>
      <w:r w:rsidR="00B94534" w:rsidRPr="00100F71">
        <w:rPr>
          <w:lang w:val="es-ES_tradnl"/>
        </w:rPr>
        <w:t>the</w:t>
      </w:r>
      <w:proofErr w:type="spellEnd"/>
      <w:r w:rsidR="00B94534" w:rsidRPr="00100F71">
        <w:rPr>
          <w:lang w:val="es-ES_tradnl"/>
        </w:rPr>
        <w:t xml:space="preserve"> </w:t>
      </w:r>
      <w:proofErr w:type="spellStart"/>
      <w:r w:rsidR="00B94534" w:rsidRPr="00100F71">
        <w:rPr>
          <w:lang w:val="es-ES_tradnl"/>
        </w:rPr>
        <w:t>United</w:t>
      </w:r>
      <w:proofErr w:type="spellEnd"/>
      <w:r w:rsidR="00B94534" w:rsidRPr="00100F71">
        <w:rPr>
          <w:lang w:val="es-ES_tradnl"/>
        </w:rPr>
        <w:t xml:space="preserve"> </w:t>
      </w:r>
      <w:proofErr w:type="spellStart"/>
      <w:r w:rsidR="00B94534" w:rsidRPr="00100F71">
        <w:rPr>
          <w:lang w:val="es-ES_tradnl"/>
        </w:rPr>
        <w:t>Nations</w:t>
      </w:r>
      <w:proofErr w:type="spellEnd"/>
      <w:r w:rsidR="00B94534" w:rsidRPr="00100F71">
        <w:rPr>
          <w:lang w:val="es-ES_tradnl"/>
        </w:rPr>
        <w:t xml:space="preserve"> </w:t>
      </w:r>
      <w:proofErr w:type="spellStart"/>
      <w:r w:rsidR="00B94534" w:rsidRPr="00100F71">
        <w:rPr>
          <w:lang w:val="es-ES_tradnl"/>
        </w:rPr>
        <w:t>Environment</w:t>
      </w:r>
      <w:proofErr w:type="spellEnd"/>
      <w:r w:rsidR="00B94534" w:rsidRPr="00100F71">
        <w:rPr>
          <w:lang w:val="es-ES_tradnl"/>
        </w:rPr>
        <w:t xml:space="preserve"> </w:t>
      </w:r>
      <w:proofErr w:type="spellStart"/>
      <w:r w:rsidR="00B94534" w:rsidRPr="00100F71">
        <w:rPr>
          <w:lang w:val="es-ES_tradnl"/>
        </w:rPr>
        <w:t>Assembly</w:t>
      </w:r>
      <w:proofErr w:type="spellEnd"/>
      <w:r w:rsidR="00B94534" w:rsidRPr="00100F71">
        <w:rPr>
          <w:lang w:val="es-ES_tradnl"/>
        </w:rPr>
        <w:t xml:space="preserve"> of </w:t>
      </w:r>
      <w:proofErr w:type="spellStart"/>
      <w:r w:rsidR="00B94534" w:rsidRPr="00100F71">
        <w:rPr>
          <w:lang w:val="es-ES_tradnl"/>
        </w:rPr>
        <w:t>the</w:t>
      </w:r>
      <w:proofErr w:type="spellEnd"/>
      <w:r w:rsidR="00B94534" w:rsidRPr="00100F71">
        <w:rPr>
          <w:lang w:val="es-ES_tradnl"/>
        </w:rPr>
        <w:t xml:space="preserve"> </w:t>
      </w:r>
      <w:proofErr w:type="spellStart"/>
      <w:r w:rsidR="00B94534" w:rsidRPr="00100F71">
        <w:rPr>
          <w:lang w:val="es-ES_tradnl"/>
        </w:rPr>
        <w:t>United</w:t>
      </w:r>
      <w:proofErr w:type="spellEnd"/>
      <w:r w:rsidR="00B94534" w:rsidRPr="00100F71">
        <w:rPr>
          <w:lang w:val="es-ES_tradnl"/>
        </w:rPr>
        <w:t xml:space="preserve"> </w:t>
      </w:r>
      <w:proofErr w:type="spellStart"/>
      <w:r w:rsidR="00B94534" w:rsidRPr="00100F71">
        <w:rPr>
          <w:lang w:val="es-ES_tradnl"/>
        </w:rPr>
        <w:t>Nations</w:t>
      </w:r>
      <w:proofErr w:type="spellEnd"/>
      <w:r w:rsidR="00B94534" w:rsidRPr="00100F71">
        <w:rPr>
          <w:lang w:val="es-ES_tradnl"/>
        </w:rPr>
        <w:t xml:space="preserve"> </w:t>
      </w:r>
      <w:proofErr w:type="spellStart"/>
      <w:r w:rsidR="00B94534" w:rsidRPr="00100F71">
        <w:rPr>
          <w:lang w:val="es-ES_tradnl"/>
        </w:rPr>
        <w:t>Environment</w:t>
      </w:r>
      <w:proofErr w:type="spellEnd"/>
      <w:r w:rsidR="00B94534" w:rsidRPr="00100F71">
        <w:rPr>
          <w:lang w:val="es-ES_tradnl"/>
        </w:rPr>
        <w:t xml:space="preserve"> </w:t>
      </w:r>
      <w:proofErr w:type="spellStart"/>
      <w:r w:rsidR="00B94534" w:rsidRPr="00100F71">
        <w:rPr>
          <w:lang w:val="es-ES_tradnl"/>
        </w:rPr>
        <w:t>Programme</w:t>
      </w:r>
      <w:proofErr w:type="spellEnd"/>
      <w:r w:rsidR="00B94534" w:rsidRPr="00100F71">
        <w:rPr>
          <w:lang w:val="es-ES_tradnl"/>
        </w:rPr>
        <w:t xml:space="preserve">, </w:t>
      </w:r>
      <w:proofErr w:type="spellStart"/>
      <w:r w:rsidR="00B94534" w:rsidRPr="00100F71">
        <w:rPr>
          <w:lang w:val="es-ES_tradnl"/>
        </w:rPr>
        <w:t>on</w:t>
      </w:r>
      <w:proofErr w:type="spellEnd"/>
      <w:r w:rsidR="00B94534" w:rsidRPr="00100F71">
        <w:rPr>
          <w:lang w:val="es-ES_tradnl"/>
        </w:rPr>
        <w:t xml:space="preserve"> </w:t>
      </w:r>
      <w:proofErr w:type="spellStart"/>
      <w:r w:rsidR="00B94534" w:rsidRPr="00100F71">
        <w:rPr>
          <w:lang w:val="es-ES_tradnl"/>
        </w:rPr>
        <w:t>chemicals</w:t>
      </w:r>
      <w:proofErr w:type="spellEnd"/>
      <w:r w:rsidR="00B94534" w:rsidRPr="00100F71">
        <w:rPr>
          <w:lang w:val="es-ES_tradnl"/>
        </w:rPr>
        <w:t xml:space="preserve"> and </w:t>
      </w:r>
      <w:proofErr w:type="spellStart"/>
      <w:r w:rsidR="00B94534" w:rsidRPr="00100F71">
        <w:rPr>
          <w:lang w:val="es-ES_tradnl"/>
        </w:rPr>
        <w:t>wastes</w:t>
      </w:r>
      <w:proofErr w:type="spellEnd"/>
      <w:r w:rsidR="00B94534" w:rsidRPr="00100F71">
        <w:rPr>
          <w:lang w:val="es-ES_tradnl"/>
        </w:rPr>
        <w:t xml:space="preserve"> (</w:t>
      </w:r>
      <w:r w:rsidR="004E16A8" w:rsidRPr="00100F71">
        <w:rPr>
          <w:lang w:val="es-ES_tradnl"/>
        </w:rPr>
        <w:t>Resolución 1/5</w:t>
      </w:r>
      <w:r w:rsidR="00A50CFF">
        <w:rPr>
          <w:lang w:val="es-ES_tradnl"/>
        </w:rPr>
        <w:t xml:space="preserve"> de la Asamblea de las Naciones </w:t>
      </w:r>
      <w:r w:rsidR="004E16A8" w:rsidRPr="00100F71">
        <w:rPr>
          <w:lang w:val="es-ES_tradnl"/>
        </w:rPr>
        <w:t>Unidas sobre el Medio Ambien</w:t>
      </w:r>
      <w:r w:rsidR="006536E9">
        <w:rPr>
          <w:lang w:val="es-ES_tradnl"/>
        </w:rPr>
        <w:t>te del Programa de las Naciones </w:t>
      </w:r>
      <w:r w:rsidR="004E16A8" w:rsidRPr="00100F71">
        <w:rPr>
          <w:lang w:val="es-ES_tradnl"/>
        </w:rPr>
        <w:t>Unidas para el Medio Ambiente sobre los productos químicos y los desechos</w:t>
      </w:r>
      <w:r w:rsidR="00B94534" w:rsidRPr="00100F71">
        <w:rPr>
          <w:lang w:val="es-ES_tradnl"/>
        </w:rPr>
        <w:t>)</w:t>
      </w:r>
      <w:r w:rsidR="004E16A8" w:rsidRPr="00100F71">
        <w:rPr>
          <w:lang w:val="es-ES_tradnl"/>
        </w:rPr>
        <w:t xml:space="preserve"> (véase SAICM/ICCM.4/INF/22).</w:t>
      </w:r>
    </w:p>
    <w:p w:rsidR="00C72809" w:rsidRPr="00100F71" w:rsidRDefault="00C72809" w:rsidP="00C72809">
      <w:pPr>
        <w:pStyle w:val="Normalnumber"/>
        <w:rPr>
          <w:lang w:val="es-ES_tradnl"/>
        </w:rPr>
      </w:pPr>
      <w:r w:rsidRPr="00100F71">
        <w:rPr>
          <w:lang w:val="es-ES_tradnl"/>
        </w:rPr>
        <w:t>La Conferencia tal vez desee examinar la orientación y las dire</w:t>
      </w:r>
      <w:r w:rsidR="006D4A3A">
        <w:rPr>
          <w:lang w:val="es-ES_tradnl"/>
        </w:rPr>
        <w:t>ctrices generales y aprobar una </w:t>
      </w:r>
      <w:r w:rsidRPr="00100F71">
        <w:rPr>
          <w:lang w:val="es-ES_tradnl"/>
        </w:rPr>
        <w:t>resolución al respecto que promueva su puesta en marcha y seguir mejorando la aplicación del Enfoque Estratégico con miras a alcanzar el objetivo de 2020.</w:t>
      </w:r>
    </w:p>
    <w:p w:rsidR="00C72809" w:rsidRPr="00100F71" w:rsidRDefault="00C72809" w:rsidP="007A7CEA">
      <w:pPr>
        <w:pStyle w:val="CH3"/>
        <w:tabs>
          <w:tab w:val="clear" w:pos="851"/>
          <w:tab w:val="clear" w:pos="1247"/>
          <w:tab w:val="clear" w:pos="1814"/>
          <w:tab w:val="clear" w:pos="2381"/>
          <w:tab w:val="clear" w:pos="2948"/>
          <w:tab w:val="clear" w:pos="3515"/>
        </w:tabs>
        <w:ind w:hanging="623"/>
        <w:rPr>
          <w:lang w:val="es-ES_tradnl"/>
        </w:rPr>
      </w:pPr>
      <w:r w:rsidRPr="00100F71">
        <w:rPr>
          <w:lang w:val="es-ES_tradnl"/>
        </w:rPr>
        <w:t>b)</w:t>
      </w:r>
      <w:r w:rsidRPr="00100F71">
        <w:rPr>
          <w:lang w:val="es-ES_tradnl"/>
        </w:rPr>
        <w:tab/>
        <w:t>Nuevas cuestiones normativas y otras cuestiones de interés</w:t>
      </w:r>
    </w:p>
    <w:p w:rsidR="00C72809" w:rsidRPr="00100F71" w:rsidRDefault="00C72809" w:rsidP="00C72809">
      <w:pPr>
        <w:pStyle w:val="Normalnumber"/>
        <w:ind w:left="1191"/>
        <w:rPr>
          <w:lang w:val="es-ES_tradnl"/>
        </w:rPr>
      </w:pPr>
      <w:r w:rsidRPr="00100F71">
        <w:rPr>
          <w:lang w:val="es-ES_tradnl"/>
        </w:rPr>
        <w:t xml:space="preserve">Una de las funciones de la Conferencia, señalada en el párrafo 24 j) de la Estrategia de política global, es abordar las cuestiones normativas que surjan y promover la adopción de medidas al respecto, procurando consensuar las prioridades que requieran medidas de cooperación. En su cuarto período de sesiones, se pedirá a la Conferencia que examine cuatro aspectos: una propuesta sobre los contaminantes farmacéuticos ambientalmente persistentes como nueva cuestión normativa; una propuesta sobre los plaguicidas altamente peligrosos como cuestión que es motivo de preocupación; los progresos realizados en relación con cada una de las nuevas cuestiones normativas; y los progresos realizados en relación con otras cuestiones que son motivo de preocupación, incluidos los productos químicos </w:t>
      </w:r>
      <w:proofErr w:type="spellStart"/>
      <w:r w:rsidRPr="00100F71">
        <w:rPr>
          <w:lang w:val="es-ES_tradnl"/>
        </w:rPr>
        <w:t>perfluorados</w:t>
      </w:r>
      <w:proofErr w:type="spellEnd"/>
      <w:r w:rsidRPr="00100F71">
        <w:rPr>
          <w:lang w:val="es-ES_tradnl"/>
        </w:rPr>
        <w:t>.</w:t>
      </w:r>
    </w:p>
    <w:p w:rsidR="00C72809" w:rsidRPr="00100F71" w:rsidRDefault="00C72809" w:rsidP="00C72809">
      <w:pPr>
        <w:pStyle w:val="CH4"/>
        <w:rPr>
          <w:lang w:val="es-ES_tradnl"/>
        </w:rPr>
      </w:pPr>
      <w:r w:rsidRPr="00100F71">
        <w:rPr>
          <w:lang w:val="es-ES_tradnl"/>
        </w:rPr>
        <w:tab/>
        <w:t>i)</w:t>
      </w:r>
      <w:r w:rsidRPr="00100F71">
        <w:rPr>
          <w:lang w:val="es-ES_tradnl"/>
        </w:rPr>
        <w:tab/>
        <w:t>Propuesta sobre los contaminantes farmacéuticos ambientalmente persistentes como nueva cuestión normativa</w:t>
      </w:r>
    </w:p>
    <w:p w:rsidR="00C72809" w:rsidRPr="00100F71" w:rsidRDefault="00C72809" w:rsidP="00C72809">
      <w:pPr>
        <w:pStyle w:val="Normalnumber"/>
        <w:rPr>
          <w:lang w:val="es-ES_tradnl"/>
        </w:rPr>
      </w:pPr>
      <w:r w:rsidRPr="00100F71">
        <w:rPr>
          <w:lang w:val="es-ES_tradnl"/>
        </w:rPr>
        <w:t>De conformidad con el procedimiento para el examen de nuevas cuestiones normativas que figura en el anexo de la resolución II/4, los Gobiernos del Perú y el Uruguay y la Sociedad Internacional de Médicos para el Medio Ambiente propusieron el tema de los contaminantes farmacéuticos ambientalmente persistentes como nueva cuestión normativa para su examen por la Conferencia en su cuarto período de sesiones. En su segunda reunión, el Grupo de Trabajo de composición abierta hizo suya la propuesta, con las revisiones que estimó oportunas, para su examen por la Conferencia en su cuarto período de sesiones.</w:t>
      </w:r>
    </w:p>
    <w:p w:rsidR="00C72809" w:rsidRPr="00100F71" w:rsidRDefault="00C72809" w:rsidP="00C72809">
      <w:pPr>
        <w:pStyle w:val="Normalnumber"/>
        <w:rPr>
          <w:lang w:val="es-ES_tradnl"/>
        </w:rPr>
      </w:pPr>
      <w:r w:rsidRPr="00100F71">
        <w:rPr>
          <w:lang w:val="es-ES_tradnl"/>
        </w:rPr>
        <w:t>La Conferencia tendrá ante sí una nota de la Secretaría sobre un resumen del expediente de la propuesta (SAICM/ICCM.4/7), así como una nota de la Secretaría titulada “propuesta de nueva cuestión normativa: contaminantes farmacéuticos ambientalmente persistentes” (SAICM/ICCM.4/INF/15), en su forma revisada por el Grupo de Trabajo de composición abierta durante su segunda reunión sobre la base de la presentación original realizada por los autores.</w:t>
      </w:r>
    </w:p>
    <w:p w:rsidR="004E16A8" w:rsidRPr="00100F71" w:rsidRDefault="004E16A8" w:rsidP="00C72809">
      <w:pPr>
        <w:pStyle w:val="Normalnumber"/>
        <w:rPr>
          <w:lang w:val="es-ES_tradnl"/>
        </w:rPr>
      </w:pPr>
      <w:r w:rsidRPr="00100F71">
        <w:rPr>
          <w:lang w:val="es-ES_tradnl"/>
        </w:rPr>
        <w:t xml:space="preserve">La Conferencia tuvo ante sí otros documentos presentados por </w:t>
      </w:r>
      <w:r w:rsidR="006D4A3A">
        <w:rPr>
          <w:lang w:val="es-ES_tradnl"/>
        </w:rPr>
        <w:t>los interesados en apoyo de los </w:t>
      </w:r>
      <w:r w:rsidRPr="00100F71">
        <w:rPr>
          <w:lang w:val="es-ES_tradnl"/>
        </w:rPr>
        <w:t>debates:</w:t>
      </w:r>
    </w:p>
    <w:p w:rsidR="004E16A8" w:rsidRPr="00100F71" w:rsidRDefault="004E16A8" w:rsidP="00100F71">
      <w:pPr>
        <w:pStyle w:val="Normalnumber"/>
        <w:numPr>
          <w:ilvl w:val="1"/>
          <w:numId w:val="5"/>
        </w:numPr>
        <w:tabs>
          <w:tab w:val="clear" w:pos="567"/>
          <w:tab w:val="clear" w:pos="624"/>
          <w:tab w:val="clear" w:pos="1247"/>
        </w:tabs>
        <w:ind w:firstLine="624"/>
        <w:rPr>
          <w:lang w:val="es-ES_tradnl"/>
        </w:rPr>
      </w:pPr>
      <w:proofErr w:type="spellStart"/>
      <w:r w:rsidRPr="00100F71">
        <w:rPr>
          <w:lang w:val="es-ES_tradnl"/>
        </w:rPr>
        <w:t>Workshop</w:t>
      </w:r>
      <w:proofErr w:type="spellEnd"/>
      <w:r w:rsidRPr="00100F71">
        <w:rPr>
          <w:lang w:val="es-ES_tradnl"/>
        </w:rPr>
        <w:t xml:space="preserve"> </w:t>
      </w:r>
      <w:proofErr w:type="spellStart"/>
      <w:r w:rsidRPr="00100F71">
        <w:rPr>
          <w:lang w:val="es-ES_tradnl"/>
        </w:rPr>
        <w:t>documentation</w:t>
      </w:r>
      <w:proofErr w:type="spellEnd"/>
      <w:r w:rsidRPr="00100F71">
        <w:rPr>
          <w:lang w:val="es-ES_tradnl"/>
        </w:rPr>
        <w:t xml:space="preserve"> </w:t>
      </w:r>
      <w:proofErr w:type="spellStart"/>
      <w:r w:rsidRPr="00100F71">
        <w:rPr>
          <w:lang w:val="es-ES_tradnl"/>
        </w:rPr>
        <w:t>on</w:t>
      </w:r>
      <w:proofErr w:type="spellEnd"/>
      <w:r w:rsidRPr="00100F71">
        <w:rPr>
          <w:lang w:val="es-ES_tradnl"/>
        </w:rPr>
        <w:t xml:space="preserve"> </w:t>
      </w:r>
      <w:proofErr w:type="spellStart"/>
      <w:r w:rsidRPr="00100F71">
        <w:rPr>
          <w:lang w:val="es-ES_tradnl"/>
        </w:rPr>
        <w:t>pharmaceuticals</w:t>
      </w:r>
      <w:proofErr w:type="spellEnd"/>
      <w:r w:rsidRPr="00100F71">
        <w:rPr>
          <w:lang w:val="es-ES_tradnl"/>
        </w:rPr>
        <w:t xml:space="preserve"> in </w:t>
      </w:r>
      <w:proofErr w:type="spellStart"/>
      <w:r w:rsidRPr="00100F71">
        <w:rPr>
          <w:lang w:val="es-ES_tradnl"/>
        </w:rPr>
        <w:t>the</w:t>
      </w:r>
      <w:proofErr w:type="spellEnd"/>
      <w:r w:rsidRPr="00100F71">
        <w:rPr>
          <w:lang w:val="es-ES_tradnl"/>
        </w:rPr>
        <w:t xml:space="preserve"> </w:t>
      </w:r>
      <w:proofErr w:type="spellStart"/>
      <w:r w:rsidRPr="00100F71">
        <w:rPr>
          <w:lang w:val="es-ES_tradnl"/>
        </w:rPr>
        <w:t>environment</w:t>
      </w:r>
      <w:proofErr w:type="spellEnd"/>
      <w:r w:rsidRPr="00100F71">
        <w:rPr>
          <w:lang w:val="es-ES_tradnl"/>
        </w:rPr>
        <w:t xml:space="preserve"> - global </w:t>
      </w:r>
      <w:proofErr w:type="spellStart"/>
      <w:r w:rsidRPr="00100F71">
        <w:rPr>
          <w:lang w:val="es-ES_tradnl"/>
        </w:rPr>
        <w:t>occurrence</w:t>
      </w:r>
      <w:proofErr w:type="spellEnd"/>
      <w:r w:rsidRPr="00100F71">
        <w:rPr>
          <w:lang w:val="es-ES_tradnl"/>
        </w:rPr>
        <w:t xml:space="preserve">, </w:t>
      </w:r>
      <w:proofErr w:type="spellStart"/>
      <w:r w:rsidRPr="00100F71">
        <w:rPr>
          <w:lang w:val="es-ES_tradnl"/>
        </w:rPr>
        <w:t>effects</w:t>
      </w:r>
      <w:proofErr w:type="spellEnd"/>
      <w:r w:rsidRPr="00100F71">
        <w:rPr>
          <w:lang w:val="es-ES_tradnl"/>
        </w:rPr>
        <w:t xml:space="preserve"> and </w:t>
      </w:r>
      <w:proofErr w:type="spellStart"/>
      <w:r w:rsidRPr="00100F71">
        <w:rPr>
          <w:lang w:val="es-ES_tradnl"/>
        </w:rPr>
        <w:t>options</w:t>
      </w:r>
      <w:proofErr w:type="spellEnd"/>
      <w:r w:rsidRPr="00100F71">
        <w:rPr>
          <w:lang w:val="es-ES_tradnl"/>
        </w:rPr>
        <w:t xml:space="preserve"> </w:t>
      </w:r>
      <w:proofErr w:type="spellStart"/>
      <w:r w:rsidRPr="00100F71">
        <w:rPr>
          <w:lang w:val="es-ES_tradnl"/>
        </w:rPr>
        <w:t>for</w:t>
      </w:r>
      <w:proofErr w:type="spellEnd"/>
      <w:r w:rsidRPr="00100F71">
        <w:rPr>
          <w:lang w:val="es-ES_tradnl"/>
        </w:rPr>
        <w:t xml:space="preserve"> </w:t>
      </w:r>
      <w:proofErr w:type="spellStart"/>
      <w:r w:rsidRPr="00100F71">
        <w:rPr>
          <w:lang w:val="es-ES_tradnl"/>
        </w:rPr>
        <w:t>action</w:t>
      </w:r>
      <w:proofErr w:type="spellEnd"/>
      <w:r w:rsidRPr="00100F71">
        <w:rPr>
          <w:lang w:val="es-ES_tradnl"/>
        </w:rPr>
        <w:t xml:space="preserve"> (documentación del taller sobre los productos químicos farmacéuticos en el medio ambiente: presencia generalizada en el medio ambiente, efecto y opciones para la acción) (véase SAICM/ICCM.4/INF/23); </w:t>
      </w:r>
    </w:p>
    <w:p w:rsidR="004E16A8" w:rsidRPr="00100F71" w:rsidRDefault="004E16A8" w:rsidP="00100F71">
      <w:pPr>
        <w:pStyle w:val="Normalnumber"/>
        <w:numPr>
          <w:ilvl w:val="1"/>
          <w:numId w:val="5"/>
        </w:numPr>
        <w:tabs>
          <w:tab w:val="clear" w:pos="567"/>
          <w:tab w:val="clear" w:pos="624"/>
          <w:tab w:val="clear" w:pos="1247"/>
        </w:tabs>
        <w:ind w:firstLine="624"/>
        <w:rPr>
          <w:lang w:val="es-ES_tradnl"/>
        </w:rPr>
      </w:pPr>
      <w:proofErr w:type="spellStart"/>
      <w:r w:rsidRPr="00100F71">
        <w:rPr>
          <w:lang w:val="es-ES_tradnl"/>
        </w:rPr>
        <w:t>Information</w:t>
      </w:r>
      <w:proofErr w:type="spellEnd"/>
      <w:r w:rsidRPr="00100F71">
        <w:rPr>
          <w:lang w:val="es-ES_tradnl"/>
        </w:rPr>
        <w:t xml:space="preserve"> </w:t>
      </w:r>
      <w:proofErr w:type="spellStart"/>
      <w:r w:rsidRPr="00100F71">
        <w:rPr>
          <w:lang w:val="es-ES_tradnl"/>
        </w:rPr>
        <w:t>submitted</w:t>
      </w:r>
      <w:proofErr w:type="spellEnd"/>
      <w:r w:rsidRPr="00100F71">
        <w:rPr>
          <w:lang w:val="es-ES_tradnl"/>
        </w:rPr>
        <w:t xml:space="preserve"> </w:t>
      </w:r>
      <w:proofErr w:type="spellStart"/>
      <w:r w:rsidRPr="00100F71">
        <w:rPr>
          <w:lang w:val="es-ES_tradnl"/>
        </w:rPr>
        <w:t>by</w:t>
      </w:r>
      <w:proofErr w:type="spellEnd"/>
      <w:r w:rsidRPr="00100F71">
        <w:rPr>
          <w:lang w:val="es-ES_tradnl"/>
        </w:rPr>
        <w:t xml:space="preserve"> </w:t>
      </w:r>
      <w:proofErr w:type="spellStart"/>
      <w:r w:rsidRPr="00100F71">
        <w:rPr>
          <w:lang w:val="es-ES_tradnl"/>
        </w:rPr>
        <w:t>the</w:t>
      </w:r>
      <w:proofErr w:type="spellEnd"/>
      <w:r w:rsidRPr="00100F71">
        <w:rPr>
          <w:lang w:val="es-ES_tradnl"/>
        </w:rPr>
        <w:t xml:space="preserve"> </w:t>
      </w:r>
      <w:proofErr w:type="spellStart"/>
      <w:r w:rsidRPr="00100F71">
        <w:rPr>
          <w:lang w:val="es-ES_tradnl"/>
        </w:rPr>
        <w:t>United</w:t>
      </w:r>
      <w:proofErr w:type="spellEnd"/>
      <w:r w:rsidRPr="00100F71">
        <w:rPr>
          <w:lang w:val="es-ES_tradnl"/>
        </w:rPr>
        <w:t xml:space="preserve"> </w:t>
      </w:r>
      <w:proofErr w:type="spellStart"/>
      <w:r w:rsidRPr="00100F71">
        <w:rPr>
          <w:lang w:val="es-ES_tradnl"/>
        </w:rPr>
        <w:t>Kingdom</w:t>
      </w:r>
      <w:proofErr w:type="spellEnd"/>
      <w:r w:rsidRPr="00100F71">
        <w:rPr>
          <w:lang w:val="es-ES_tradnl"/>
        </w:rPr>
        <w:t xml:space="preserve"> of Great </w:t>
      </w:r>
      <w:proofErr w:type="spellStart"/>
      <w:r w:rsidRPr="00100F71">
        <w:rPr>
          <w:lang w:val="es-ES_tradnl"/>
        </w:rPr>
        <w:t>Britain</w:t>
      </w:r>
      <w:proofErr w:type="spellEnd"/>
      <w:r w:rsidRPr="00100F71">
        <w:rPr>
          <w:lang w:val="es-ES_tradnl"/>
        </w:rPr>
        <w:t xml:space="preserve"> and </w:t>
      </w:r>
      <w:proofErr w:type="spellStart"/>
      <w:r w:rsidRPr="00100F71">
        <w:rPr>
          <w:lang w:val="es-ES_tradnl"/>
        </w:rPr>
        <w:t>Northern</w:t>
      </w:r>
      <w:proofErr w:type="spellEnd"/>
      <w:r w:rsidRPr="00100F71">
        <w:rPr>
          <w:lang w:val="es-ES_tradnl"/>
        </w:rPr>
        <w:t xml:space="preserve"> </w:t>
      </w:r>
      <w:proofErr w:type="spellStart"/>
      <w:r w:rsidRPr="00100F71">
        <w:rPr>
          <w:lang w:val="es-ES_tradnl"/>
        </w:rPr>
        <w:t>Ireland</w:t>
      </w:r>
      <w:proofErr w:type="spellEnd"/>
      <w:r w:rsidRPr="00100F71">
        <w:rPr>
          <w:lang w:val="es-ES_tradnl"/>
        </w:rPr>
        <w:t xml:space="preserve"> </w:t>
      </w:r>
      <w:proofErr w:type="spellStart"/>
      <w:r w:rsidRPr="00100F71">
        <w:rPr>
          <w:lang w:val="es-ES_tradnl"/>
        </w:rPr>
        <w:t>on</w:t>
      </w:r>
      <w:proofErr w:type="spellEnd"/>
      <w:r w:rsidRPr="00100F71">
        <w:rPr>
          <w:lang w:val="es-ES_tradnl"/>
        </w:rPr>
        <w:t xml:space="preserve"> </w:t>
      </w:r>
      <w:proofErr w:type="spellStart"/>
      <w:r w:rsidRPr="00100F71">
        <w:rPr>
          <w:lang w:val="es-ES_tradnl"/>
        </w:rPr>
        <w:t>environmentally</w:t>
      </w:r>
      <w:proofErr w:type="spellEnd"/>
      <w:r w:rsidRPr="00100F71">
        <w:rPr>
          <w:lang w:val="es-ES_tradnl"/>
        </w:rPr>
        <w:t xml:space="preserve"> </w:t>
      </w:r>
      <w:proofErr w:type="spellStart"/>
      <w:r w:rsidRPr="00100F71">
        <w:rPr>
          <w:lang w:val="es-ES_tradnl"/>
        </w:rPr>
        <w:t>persistent</w:t>
      </w:r>
      <w:proofErr w:type="spellEnd"/>
      <w:r w:rsidRPr="00100F71">
        <w:rPr>
          <w:lang w:val="es-ES_tradnl"/>
        </w:rPr>
        <w:t xml:space="preserve"> </w:t>
      </w:r>
      <w:proofErr w:type="spellStart"/>
      <w:r w:rsidRPr="00100F71">
        <w:rPr>
          <w:lang w:val="es-ES_tradnl"/>
        </w:rPr>
        <w:t>pharmaceutical</w:t>
      </w:r>
      <w:proofErr w:type="spellEnd"/>
      <w:r w:rsidRPr="00100F71">
        <w:rPr>
          <w:lang w:val="es-ES_tradnl"/>
        </w:rPr>
        <w:t xml:space="preserve"> </w:t>
      </w:r>
      <w:proofErr w:type="spellStart"/>
      <w:r w:rsidRPr="00100F71">
        <w:rPr>
          <w:lang w:val="es-ES_tradnl"/>
        </w:rPr>
        <w:t>pollutants</w:t>
      </w:r>
      <w:proofErr w:type="spellEnd"/>
      <w:r w:rsidRPr="00100F71">
        <w:rPr>
          <w:lang w:val="es-ES_tradnl"/>
        </w:rPr>
        <w:t xml:space="preserve"> (información presentada por el Reino Unido de Gran Bretaña e Irlanda del Norte sobre los contaminantes farmacéuticos ambientalmente persistentes (véase SAICM/ICCM.4/INF/28).</w:t>
      </w:r>
    </w:p>
    <w:p w:rsidR="00C72809" w:rsidRPr="00100F71" w:rsidRDefault="00C72809" w:rsidP="00C72809">
      <w:pPr>
        <w:pStyle w:val="Normalnumber"/>
        <w:tabs>
          <w:tab w:val="clear" w:pos="567"/>
          <w:tab w:val="clear" w:pos="1247"/>
        </w:tabs>
        <w:rPr>
          <w:lang w:val="es-ES_tradnl"/>
        </w:rPr>
      </w:pPr>
      <w:r w:rsidRPr="00100F71">
        <w:rPr>
          <w:lang w:val="es-ES_tradnl"/>
        </w:rPr>
        <w:t>De conformidad con el párrafo 24 j) de la Estrategia de política global, la Conferencia tal vez desee examinar la propuesta sobre contaminantes farmacéuticos ambientalmente persistentes, hacer un llamamiento para que se adopten las medidas de cooperación adecuadas y aprobar la propuesta como nueva cuestión normativa del Enfoque Estratégico por medio de una resolución.</w:t>
      </w:r>
    </w:p>
    <w:p w:rsidR="00C72809" w:rsidRPr="00100F71" w:rsidRDefault="00C72809" w:rsidP="00C72809">
      <w:pPr>
        <w:pStyle w:val="CH4"/>
        <w:rPr>
          <w:lang w:val="es-ES_tradnl"/>
        </w:rPr>
      </w:pPr>
      <w:r w:rsidRPr="00100F71">
        <w:rPr>
          <w:lang w:val="es-ES_tradnl"/>
        </w:rPr>
        <w:tab/>
        <w:t>ii)</w:t>
      </w:r>
      <w:r w:rsidRPr="00100F71">
        <w:rPr>
          <w:lang w:val="es-ES_tradnl"/>
        </w:rPr>
        <w:tab/>
        <w:t>Propuesta sobre los plaguicidas altamente peligrosos como cuestión que es motivo de preocupación</w:t>
      </w:r>
    </w:p>
    <w:p w:rsidR="00C72809" w:rsidRPr="00100F71" w:rsidRDefault="00C72809" w:rsidP="00C72809">
      <w:pPr>
        <w:pStyle w:val="Normalnumber"/>
        <w:rPr>
          <w:lang w:val="es-ES_tradnl"/>
        </w:rPr>
      </w:pPr>
      <w:r w:rsidRPr="00100F71">
        <w:rPr>
          <w:lang w:val="es-ES_tradnl"/>
        </w:rPr>
        <w:t xml:space="preserve">En su segunda reunión, el Grupo de Trabajo de composición abierta, en respuesta a las cuestiones planteadas en las reuniones regionales del Enfoque Estratégico, examinó la cuestión de los plaguicidas altamente peligrosos e invitó a la Organización de las </w:t>
      </w:r>
      <w:r w:rsidR="00A82CE5" w:rsidRPr="00100F71">
        <w:rPr>
          <w:lang w:val="es-ES_tradnl"/>
        </w:rPr>
        <w:t>Naciones Unidas</w:t>
      </w:r>
      <w:r w:rsidRPr="00100F71">
        <w:rPr>
          <w:lang w:val="es-ES_tradnl"/>
        </w:rPr>
        <w:t xml:space="preserve"> para la Agricultura y la Alimentación (FAO), el PNUMA y la OMS a que promuevan un proceso de múltiples interesados con vistas a elaborar una propuesta para su examen por la Conferencia en s</w:t>
      </w:r>
      <w:r w:rsidR="001D71E0">
        <w:rPr>
          <w:lang w:val="es-ES_tradnl"/>
        </w:rPr>
        <w:t xml:space="preserve">u cuarto período de sesiones, </w:t>
      </w:r>
      <w:r w:rsidRPr="00100F71">
        <w:rPr>
          <w:lang w:val="es-ES_tradnl"/>
        </w:rPr>
        <w:t>teniendo en cuenta la información pertinente.</w:t>
      </w:r>
    </w:p>
    <w:p w:rsidR="00C72809" w:rsidRPr="00100F71" w:rsidRDefault="00C72809" w:rsidP="00C72809">
      <w:pPr>
        <w:pStyle w:val="Normalnumber"/>
        <w:rPr>
          <w:lang w:val="es-ES_tradnl"/>
        </w:rPr>
      </w:pPr>
      <w:r w:rsidRPr="00100F71">
        <w:rPr>
          <w:lang w:val="es-ES_tradnl"/>
        </w:rPr>
        <w:t xml:space="preserve">En respuesta a la solicitud del Grupo de Trabajo, la FAO, el PNUMA y la OMS elaboraron un proyecto de propuesta que fue distribuido el 17 de abril de 2015 con el fin de recibir aportaciones de los interesados del Enfoque Estratégico antes del 18 de mayo de 2015. La propuesta se publicó en el sitio web del Enfoque Estratégico y se envió a sus coordinadores para </w:t>
      </w:r>
      <w:r w:rsidR="00543920" w:rsidRPr="00100F71">
        <w:rPr>
          <w:lang w:val="es-ES_tradnl"/>
        </w:rPr>
        <w:t>que envíen las aportaciones vía </w:t>
      </w:r>
      <w:r w:rsidRPr="00100F71">
        <w:rPr>
          <w:lang w:val="es-ES_tradnl"/>
        </w:rPr>
        <w:t xml:space="preserve">correo electrónico. Posteriormente, en respuesta a solicitudes </w:t>
      </w:r>
      <w:r w:rsidR="00543920" w:rsidRPr="00100F71">
        <w:rPr>
          <w:lang w:val="es-ES_tradnl"/>
        </w:rPr>
        <w:t>de los interesados, el plazo de </w:t>
      </w:r>
      <w:r w:rsidRPr="00100F71">
        <w:rPr>
          <w:lang w:val="es-ES_tradnl"/>
        </w:rPr>
        <w:t>presentación de información se amplió al 1 de junio de 2015. S</w:t>
      </w:r>
      <w:r w:rsidR="00543920" w:rsidRPr="00100F71">
        <w:rPr>
          <w:lang w:val="es-ES_tradnl"/>
        </w:rPr>
        <w:t>e recibieron aportaciones de 20 </w:t>
      </w:r>
      <w:r w:rsidRPr="00100F71">
        <w:rPr>
          <w:lang w:val="es-ES_tradnl"/>
        </w:rPr>
        <w:t>interesados.</w:t>
      </w:r>
    </w:p>
    <w:p w:rsidR="00C72809" w:rsidRPr="00100F71" w:rsidRDefault="00C72809" w:rsidP="00A82CE5">
      <w:pPr>
        <w:pStyle w:val="Normalnumber"/>
        <w:rPr>
          <w:lang w:val="es-ES_tradnl"/>
        </w:rPr>
      </w:pPr>
      <w:r w:rsidRPr="00100F71">
        <w:rPr>
          <w:lang w:val="es-ES_tradnl"/>
        </w:rPr>
        <w:t>La Conferencia tendrá ante sí una propuesta definitiva elab</w:t>
      </w:r>
      <w:r w:rsidR="00100F71">
        <w:rPr>
          <w:lang w:val="es-ES_tradnl"/>
        </w:rPr>
        <w:t>orada por la FAO, el PNUMA y la </w:t>
      </w:r>
      <w:r w:rsidRPr="00100F71">
        <w:rPr>
          <w:lang w:val="es-ES_tradnl"/>
        </w:rPr>
        <w:t>OMS, que integrará la información recibida de los interesados, acerca de los pasos a seguir en relación con los plaguicidas altamente peligrosos como cuestión que es motivo de preocupación (SAICM/ICCM.4/8). La propuesta se basa en gran medida en las actividades, instrumentos, mecanismos y marcos que contribuyen a la consecución de la meta de 2020 del Enfoque Estratégico.</w:t>
      </w:r>
    </w:p>
    <w:p w:rsidR="00C72809" w:rsidRPr="00100F71" w:rsidRDefault="00C72809" w:rsidP="00C72809">
      <w:pPr>
        <w:pStyle w:val="Normalnumber"/>
        <w:rPr>
          <w:lang w:val="es-ES_tradnl"/>
        </w:rPr>
      </w:pPr>
      <w:r w:rsidRPr="00100F71">
        <w:rPr>
          <w:lang w:val="es-ES_tradnl"/>
        </w:rPr>
        <w:t>La Conferencia tal vez desee examinar la propuesta y aprobar una resolución en la que se pida la adopción de medidas de cooperación, según proceda.</w:t>
      </w:r>
    </w:p>
    <w:p w:rsidR="00A82CE5" w:rsidRPr="00100F71" w:rsidRDefault="00C13BE6" w:rsidP="00A82CE5">
      <w:pPr>
        <w:pStyle w:val="CH4"/>
        <w:rPr>
          <w:lang w:val="es-ES_tradnl"/>
        </w:rPr>
      </w:pPr>
      <w:r w:rsidRPr="00100F71">
        <w:rPr>
          <w:lang w:val="es-ES_tradnl"/>
        </w:rPr>
        <w:tab/>
        <w:t>iii)</w:t>
      </w:r>
      <w:r w:rsidR="00A82CE5" w:rsidRPr="00100F71">
        <w:rPr>
          <w:lang w:val="es-ES_tradnl"/>
        </w:rPr>
        <w:tab/>
        <w:t>Nuevas cuestiones normativas de surgimiento reciente</w:t>
      </w:r>
    </w:p>
    <w:p w:rsidR="00A82CE5" w:rsidRPr="00100F71" w:rsidRDefault="00A82CE5" w:rsidP="00A82CE5">
      <w:pPr>
        <w:pStyle w:val="Normalnumber"/>
        <w:tabs>
          <w:tab w:val="clear" w:pos="567"/>
          <w:tab w:val="clear" w:pos="1247"/>
        </w:tabs>
        <w:rPr>
          <w:lang w:val="es-ES_tradnl"/>
        </w:rPr>
      </w:pPr>
      <w:r w:rsidRPr="00100F71">
        <w:rPr>
          <w:lang w:val="es-ES_tradnl"/>
        </w:rPr>
        <w:t xml:space="preserve">En sus resoluciones II/4 y III/2, la Conferencia convino en adoptar medidas respecto de las nuevas cuestiones normativas relacionadas con el plomo en la pintura, las sustancias químicas en los productos, las sustancias peligrosas en el ciclo de vida útil de los aparatos eléctricos y electrónicos, las nanotecnologías y los </w:t>
      </w:r>
      <w:proofErr w:type="spellStart"/>
      <w:r w:rsidRPr="00100F71">
        <w:rPr>
          <w:lang w:val="es-ES_tradnl"/>
        </w:rPr>
        <w:t>nanomateriales</w:t>
      </w:r>
      <w:proofErr w:type="spellEnd"/>
      <w:r w:rsidRPr="00100F71">
        <w:rPr>
          <w:lang w:val="es-ES_tradnl"/>
        </w:rPr>
        <w:t xml:space="preserve"> manufacturados y los productos químicos que perturban el sistema endocrino. Además, la orientación y las directrices generales para la consecución de la meta de</w:t>
      </w:r>
      <w:r w:rsidR="007A7CEA" w:rsidRPr="00100F71">
        <w:rPr>
          <w:lang w:val="es-ES_tradnl"/>
        </w:rPr>
        <w:t> </w:t>
      </w:r>
      <w:r w:rsidRPr="00100F71">
        <w:rPr>
          <w:lang w:val="es-ES_tradnl"/>
        </w:rPr>
        <w:t>2020 establecen el fomento de la reducción de los riesgos y del intercambio de información sobre las nuevas políticas emergentes como una de las seis esferas de actividad básicas para la consecución de esa meta promoviendo la adopción ininterrumpida de medidas relativas a cuestiones no previstas en los acuerdos vigentes, como complemento de las iniciativas de otros órganos.</w:t>
      </w:r>
    </w:p>
    <w:p w:rsidR="00A82CE5" w:rsidRPr="00100F71" w:rsidRDefault="00A82CE5" w:rsidP="00A82CE5">
      <w:pPr>
        <w:pStyle w:val="Normalnumber"/>
        <w:tabs>
          <w:tab w:val="clear" w:pos="567"/>
          <w:tab w:val="clear" w:pos="1247"/>
        </w:tabs>
        <w:rPr>
          <w:lang w:val="es-ES_tradnl"/>
        </w:rPr>
      </w:pPr>
      <w:r w:rsidRPr="00100F71">
        <w:rPr>
          <w:lang w:val="es-ES_tradnl"/>
        </w:rPr>
        <w:t>Además de una nota de la Secretaría sobre los progresos logrados en relación con las nuevas cuestiones normativas y otras cuestiones de interés (SAICM/ICCM.4/9), la Conferencia tendrá ante sí los siguientes documentos de sesión para su examen:</w:t>
      </w:r>
    </w:p>
    <w:p w:rsidR="00A82CE5" w:rsidRPr="00100F71" w:rsidRDefault="004E16A8">
      <w:pPr>
        <w:pStyle w:val="Normalnumber"/>
        <w:numPr>
          <w:ilvl w:val="1"/>
          <w:numId w:val="5"/>
        </w:numPr>
        <w:tabs>
          <w:tab w:val="clear" w:pos="567"/>
          <w:tab w:val="clear" w:pos="1247"/>
        </w:tabs>
        <w:ind w:firstLine="624"/>
        <w:rPr>
          <w:lang w:val="es-ES_tradnl"/>
        </w:rPr>
      </w:pPr>
      <w:r w:rsidRPr="00100F71">
        <w:rPr>
          <w:lang w:val="es-ES_tradnl"/>
        </w:rPr>
        <w:t xml:space="preserve">Nota de la </w:t>
      </w:r>
      <w:r w:rsidR="00824FB4">
        <w:rPr>
          <w:lang w:val="es-ES_tradnl"/>
        </w:rPr>
        <w:t>S</w:t>
      </w:r>
      <w:r w:rsidRPr="00100F71">
        <w:rPr>
          <w:lang w:val="es-ES_tradnl"/>
        </w:rPr>
        <w:t xml:space="preserve">ecretaría </w:t>
      </w:r>
      <w:r w:rsidR="00687CDC" w:rsidRPr="00100F71">
        <w:rPr>
          <w:lang w:val="es-ES_tradnl"/>
        </w:rPr>
        <w:t>acerca del programa sobre el contenido de sustancias químicas en los productos</w:t>
      </w:r>
      <w:r w:rsidR="00687CDC" w:rsidRPr="00100F71" w:rsidDel="004E16A8">
        <w:rPr>
          <w:lang w:val="es-ES_tradnl"/>
        </w:rPr>
        <w:t xml:space="preserve"> </w:t>
      </w:r>
      <w:r w:rsidR="00A82CE5" w:rsidRPr="00100F71">
        <w:rPr>
          <w:lang w:val="es-ES_tradnl"/>
        </w:rPr>
        <w:t>(véase SAICM/ICCM.4/10);</w:t>
      </w:r>
    </w:p>
    <w:p w:rsidR="00A82CE5" w:rsidRPr="00100F71" w:rsidRDefault="004E16A8">
      <w:pPr>
        <w:pStyle w:val="Normalnumber"/>
        <w:numPr>
          <w:ilvl w:val="1"/>
          <w:numId w:val="5"/>
        </w:numPr>
        <w:tabs>
          <w:tab w:val="clear" w:pos="567"/>
          <w:tab w:val="clear" w:pos="1247"/>
        </w:tabs>
        <w:ind w:firstLine="624"/>
        <w:rPr>
          <w:lang w:val="es-ES_tradnl"/>
        </w:rPr>
      </w:pPr>
      <w:r w:rsidRPr="00100F71">
        <w:rPr>
          <w:lang w:val="es-ES_tradnl"/>
        </w:rPr>
        <w:t xml:space="preserve">Nota de la </w:t>
      </w:r>
      <w:r w:rsidR="00824FB4">
        <w:rPr>
          <w:lang w:val="es-ES_tradnl"/>
        </w:rPr>
        <w:t>S</w:t>
      </w:r>
      <w:r w:rsidRPr="00100F71">
        <w:rPr>
          <w:lang w:val="es-ES_tradnl"/>
        </w:rPr>
        <w:t xml:space="preserve">ecretaría sobre la </w:t>
      </w:r>
      <w:bookmarkStart w:id="0" w:name="_Toc426108880"/>
      <w:r w:rsidRPr="00100F71">
        <w:rPr>
          <w:lang w:val="es-ES_tradnl"/>
        </w:rPr>
        <w:t>orientación para los interesados en el intercambio de información sobre el contenido de sustancias químicas en los productos</w:t>
      </w:r>
      <w:bookmarkEnd w:id="0"/>
      <w:r w:rsidR="00A82CE5" w:rsidRPr="00100F71">
        <w:rPr>
          <w:lang w:val="es-ES_tradnl"/>
        </w:rPr>
        <w:t>(véase SAICM/ICCM.4/11);</w:t>
      </w:r>
    </w:p>
    <w:p w:rsidR="00A82CE5" w:rsidRPr="00100F71" w:rsidRDefault="00687CDC" w:rsidP="00A82CE5">
      <w:pPr>
        <w:pStyle w:val="Normalnumber"/>
        <w:numPr>
          <w:ilvl w:val="1"/>
          <w:numId w:val="5"/>
        </w:numPr>
        <w:tabs>
          <w:tab w:val="clear" w:pos="567"/>
          <w:tab w:val="clear" w:pos="1247"/>
        </w:tabs>
        <w:ind w:firstLine="624"/>
        <w:rPr>
          <w:lang w:val="es-ES_tradnl"/>
        </w:rPr>
      </w:pPr>
      <w:r w:rsidRPr="00100F71">
        <w:rPr>
          <w:lang w:val="es-ES_tradnl"/>
        </w:rPr>
        <w:t xml:space="preserve">Nota de la </w:t>
      </w:r>
      <w:r w:rsidR="00824FB4">
        <w:rPr>
          <w:lang w:val="es-ES_tradnl"/>
        </w:rPr>
        <w:t>S</w:t>
      </w:r>
      <w:r w:rsidRPr="00100F71">
        <w:rPr>
          <w:lang w:val="es-ES_tradnl"/>
        </w:rPr>
        <w:t xml:space="preserve">ecretaría sobre los elementos para un proyecto de resolución sobre nanotecnologías y </w:t>
      </w:r>
      <w:proofErr w:type="spellStart"/>
      <w:r w:rsidRPr="00100F71">
        <w:rPr>
          <w:lang w:val="es-ES_tradnl"/>
        </w:rPr>
        <w:t>nanomateriales</w:t>
      </w:r>
      <w:proofErr w:type="spellEnd"/>
      <w:r w:rsidRPr="00100F71">
        <w:rPr>
          <w:lang w:val="es-ES_tradnl"/>
        </w:rPr>
        <w:t xml:space="preserve"> manufacturados para su examen por la Conferencia Internacional sobre Gestión de los Productos Químicos en su cuarto período de sesiones </w:t>
      </w:r>
      <w:r w:rsidR="00A82CE5" w:rsidRPr="00100F71">
        <w:rPr>
          <w:lang w:val="es-ES_tradnl"/>
        </w:rPr>
        <w:t>(SAICM/ICCM.4/12).</w:t>
      </w:r>
    </w:p>
    <w:p w:rsidR="00A82CE5" w:rsidRPr="00100F71" w:rsidRDefault="00A82CE5" w:rsidP="00A82CE5">
      <w:pPr>
        <w:pStyle w:val="Normalnumber"/>
        <w:tabs>
          <w:tab w:val="clear" w:pos="567"/>
          <w:tab w:val="clear" w:pos="1247"/>
        </w:tabs>
        <w:rPr>
          <w:lang w:val="es-ES_tradnl"/>
        </w:rPr>
      </w:pPr>
      <w:r w:rsidRPr="00100F71">
        <w:rPr>
          <w:lang w:val="es-ES_tradnl"/>
        </w:rPr>
        <w:t>Asimismo, la Conferencia tendrá ante sí documentos de información relativos a cada una de las nuevas cuestiones normativas, incluidas las propuestas de planes de trabajo preparadas por las organizaciones encargadas:</w:t>
      </w:r>
    </w:p>
    <w:p w:rsidR="00A82CE5" w:rsidRPr="00100F71" w:rsidRDefault="00687CDC" w:rsidP="00100F71">
      <w:pPr>
        <w:pStyle w:val="Normalnumber"/>
        <w:numPr>
          <w:ilvl w:val="1"/>
          <w:numId w:val="19"/>
        </w:numPr>
        <w:tabs>
          <w:tab w:val="clear" w:pos="624"/>
          <w:tab w:val="clear" w:pos="1247"/>
        </w:tabs>
        <w:ind w:left="1247" w:firstLine="624"/>
        <w:rPr>
          <w:lang w:val="es-ES_tradnl"/>
        </w:rPr>
      </w:pPr>
      <w:proofErr w:type="spellStart"/>
      <w:r w:rsidRPr="00100F71">
        <w:rPr>
          <w:lang w:val="es-ES_tradnl"/>
        </w:rPr>
        <w:t>Emerging</w:t>
      </w:r>
      <w:proofErr w:type="spellEnd"/>
      <w:r w:rsidRPr="00100F71">
        <w:rPr>
          <w:lang w:val="es-ES_tradnl"/>
        </w:rPr>
        <w:t xml:space="preserve"> </w:t>
      </w:r>
      <w:proofErr w:type="spellStart"/>
      <w:r w:rsidRPr="00100F71">
        <w:rPr>
          <w:lang w:val="es-ES_tradnl"/>
        </w:rPr>
        <w:t>policy</w:t>
      </w:r>
      <w:proofErr w:type="spellEnd"/>
      <w:r w:rsidRPr="00100F71">
        <w:rPr>
          <w:lang w:val="es-ES_tradnl"/>
        </w:rPr>
        <w:t xml:space="preserve"> </w:t>
      </w:r>
      <w:proofErr w:type="spellStart"/>
      <w:r w:rsidRPr="00100F71">
        <w:rPr>
          <w:lang w:val="es-ES_tradnl"/>
        </w:rPr>
        <w:t>issue</w:t>
      </w:r>
      <w:proofErr w:type="spellEnd"/>
      <w:r w:rsidRPr="00100F71">
        <w:rPr>
          <w:lang w:val="es-ES_tradnl"/>
        </w:rPr>
        <w:t xml:space="preserve"> </w:t>
      </w:r>
      <w:proofErr w:type="spellStart"/>
      <w:r w:rsidRPr="00100F71">
        <w:rPr>
          <w:lang w:val="es-ES_tradnl"/>
        </w:rPr>
        <w:t>update</w:t>
      </w:r>
      <w:proofErr w:type="spellEnd"/>
      <w:r w:rsidRPr="00100F71">
        <w:rPr>
          <w:lang w:val="es-ES_tradnl"/>
        </w:rPr>
        <w:t xml:space="preserve"> </w:t>
      </w:r>
      <w:proofErr w:type="spellStart"/>
      <w:r w:rsidRPr="00100F71">
        <w:rPr>
          <w:lang w:val="es-ES_tradnl"/>
        </w:rPr>
        <w:t>on</w:t>
      </w:r>
      <w:proofErr w:type="spellEnd"/>
      <w:r w:rsidRPr="00100F71">
        <w:rPr>
          <w:lang w:val="es-ES_tradnl"/>
        </w:rPr>
        <w:t xml:space="preserve"> lead in </w:t>
      </w:r>
      <w:proofErr w:type="spellStart"/>
      <w:r w:rsidRPr="00100F71">
        <w:rPr>
          <w:lang w:val="es-ES_tradnl"/>
        </w:rPr>
        <w:t>paint</w:t>
      </w:r>
      <w:proofErr w:type="spellEnd"/>
      <w:r w:rsidRPr="00100F71">
        <w:rPr>
          <w:lang w:val="es-ES_tradnl"/>
        </w:rPr>
        <w:t xml:space="preserve">, </w:t>
      </w:r>
      <w:proofErr w:type="spellStart"/>
      <w:r w:rsidRPr="00100F71">
        <w:rPr>
          <w:lang w:val="es-ES_tradnl"/>
        </w:rPr>
        <w:t>prepared</w:t>
      </w:r>
      <w:proofErr w:type="spellEnd"/>
      <w:r w:rsidRPr="00100F71">
        <w:rPr>
          <w:lang w:val="es-ES_tradnl"/>
        </w:rPr>
        <w:t xml:space="preserve"> </w:t>
      </w:r>
      <w:proofErr w:type="spellStart"/>
      <w:r w:rsidRPr="00100F71">
        <w:rPr>
          <w:lang w:val="es-ES_tradnl"/>
        </w:rPr>
        <w:t>by</w:t>
      </w:r>
      <w:proofErr w:type="spellEnd"/>
      <w:r w:rsidRPr="00100F71">
        <w:rPr>
          <w:lang w:val="es-ES_tradnl"/>
        </w:rPr>
        <w:t xml:space="preserve"> UNEP and WHO (</w:t>
      </w:r>
      <w:r w:rsidR="00A82CE5" w:rsidRPr="00100F71">
        <w:rPr>
          <w:lang w:val="es-ES_tradnl"/>
        </w:rPr>
        <w:t xml:space="preserve">Información actualizada sobre </w:t>
      </w:r>
      <w:r w:rsidRPr="00100F71">
        <w:rPr>
          <w:lang w:val="es-ES_tradnl"/>
        </w:rPr>
        <w:t xml:space="preserve">nuevas cuestiones normativas relacionadas con </w:t>
      </w:r>
      <w:r w:rsidR="00A82CE5" w:rsidRPr="00100F71">
        <w:rPr>
          <w:lang w:val="es-ES_tradnl"/>
        </w:rPr>
        <w:t>el plomo en la pintura, preparada por el PNUMA y la OMS</w:t>
      </w:r>
      <w:r w:rsidRPr="00100F71">
        <w:rPr>
          <w:lang w:val="es-ES_tradnl"/>
        </w:rPr>
        <w:t>)</w:t>
      </w:r>
      <w:r w:rsidR="00A82CE5" w:rsidRPr="00100F71">
        <w:rPr>
          <w:lang w:val="es-ES_tradnl"/>
        </w:rPr>
        <w:t xml:space="preserve"> (véase SAICM/ICCM.4/INF/14);</w:t>
      </w:r>
    </w:p>
    <w:p w:rsidR="005D3426" w:rsidRPr="00B85FC7" w:rsidRDefault="00687CDC" w:rsidP="00100F71">
      <w:pPr>
        <w:pStyle w:val="Normalnumber"/>
        <w:numPr>
          <w:ilvl w:val="1"/>
          <w:numId w:val="19"/>
        </w:numPr>
        <w:tabs>
          <w:tab w:val="clear" w:pos="624"/>
          <w:tab w:val="clear" w:pos="1247"/>
        </w:tabs>
        <w:ind w:left="1247" w:firstLine="624"/>
        <w:rPr>
          <w:lang w:val="es-ES_tradnl"/>
        </w:rPr>
      </w:pPr>
      <w:proofErr w:type="spellStart"/>
      <w:r w:rsidRPr="00B85FC7">
        <w:rPr>
          <w:lang w:val="es-ES_tradnl"/>
        </w:rPr>
        <w:t>Emerging</w:t>
      </w:r>
      <w:proofErr w:type="spellEnd"/>
      <w:r w:rsidRPr="00B85FC7">
        <w:rPr>
          <w:lang w:val="es-ES_tradnl"/>
        </w:rPr>
        <w:t xml:space="preserve"> </w:t>
      </w:r>
      <w:proofErr w:type="spellStart"/>
      <w:r w:rsidRPr="00B85FC7">
        <w:rPr>
          <w:lang w:val="es-ES_tradnl"/>
        </w:rPr>
        <w:t>policy</w:t>
      </w:r>
      <w:proofErr w:type="spellEnd"/>
      <w:r w:rsidRPr="00B85FC7">
        <w:rPr>
          <w:lang w:val="es-ES_tradnl"/>
        </w:rPr>
        <w:t xml:space="preserve"> </w:t>
      </w:r>
      <w:proofErr w:type="spellStart"/>
      <w:r w:rsidRPr="00B85FC7">
        <w:rPr>
          <w:lang w:val="es-ES_tradnl"/>
        </w:rPr>
        <w:t>issue</w:t>
      </w:r>
      <w:proofErr w:type="spellEnd"/>
      <w:r w:rsidRPr="00B85FC7">
        <w:rPr>
          <w:lang w:val="es-ES_tradnl"/>
        </w:rPr>
        <w:t xml:space="preserve"> </w:t>
      </w:r>
      <w:proofErr w:type="spellStart"/>
      <w:r w:rsidRPr="00B85FC7">
        <w:rPr>
          <w:lang w:val="es-ES_tradnl"/>
        </w:rPr>
        <w:t>update</w:t>
      </w:r>
      <w:proofErr w:type="spellEnd"/>
      <w:r w:rsidRPr="00B85FC7">
        <w:rPr>
          <w:lang w:val="es-ES_tradnl"/>
        </w:rPr>
        <w:t xml:space="preserve"> </w:t>
      </w:r>
      <w:proofErr w:type="spellStart"/>
      <w:r w:rsidRPr="00B85FC7">
        <w:rPr>
          <w:lang w:val="es-ES_tradnl"/>
        </w:rPr>
        <w:t>on</w:t>
      </w:r>
      <w:proofErr w:type="spellEnd"/>
      <w:r w:rsidRPr="00B85FC7">
        <w:rPr>
          <w:lang w:val="es-ES_tradnl"/>
        </w:rPr>
        <w:t xml:space="preserve"> </w:t>
      </w:r>
      <w:proofErr w:type="spellStart"/>
      <w:r w:rsidRPr="00B85FC7">
        <w:rPr>
          <w:lang w:val="es-ES_tradnl"/>
        </w:rPr>
        <w:t>chemicals</w:t>
      </w:r>
      <w:proofErr w:type="spellEnd"/>
      <w:r w:rsidRPr="00B85FC7">
        <w:rPr>
          <w:lang w:val="es-ES_tradnl"/>
        </w:rPr>
        <w:t xml:space="preserve"> in </w:t>
      </w:r>
      <w:proofErr w:type="spellStart"/>
      <w:r w:rsidRPr="00B85FC7">
        <w:rPr>
          <w:lang w:val="es-ES_tradnl"/>
        </w:rPr>
        <w:t>products</w:t>
      </w:r>
      <w:proofErr w:type="spellEnd"/>
      <w:r w:rsidRPr="00B85FC7">
        <w:rPr>
          <w:lang w:val="es-ES_tradnl"/>
        </w:rPr>
        <w:t xml:space="preserve">, </w:t>
      </w:r>
      <w:proofErr w:type="spellStart"/>
      <w:r w:rsidRPr="00B85FC7">
        <w:rPr>
          <w:lang w:val="es-ES_tradnl"/>
        </w:rPr>
        <w:t>prepared</w:t>
      </w:r>
      <w:proofErr w:type="spellEnd"/>
      <w:r w:rsidRPr="00B85FC7">
        <w:rPr>
          <w:lang w:val="es-ES_tradnl"/>
        </w:rPr>
        <w:t xml:space="preserve"> </w:t>
      </w:r>
      <w:proofErr w:type="spellStart"/>
      <w:r w:rsidRPr="00B85FC7">
        <w:rPr>
          <w:lang w:val="es-ES_tradnl"/>
        </w:rPr>
        <w:t>by</w:t>
      </w:r>
      <w:proofErr w:type="spellEnd"/>
      <w:r w:rsidRPr="00B85FC7">
        <w:rPr>
          <w:lang w:val="es-ES_tradnl"/>
        </w:rPr>
        <w:t xml:space="preserve"> UNEP (Información actualizada sobre nuevas cuestio</w:t>
      </w:r>
      <w:r w:rsidR="00D27185" w:rsidRPr="00B85FC7">
        <w:rPr>
          <w:lang w:val="es-ES_tradnl"/>
        </w:rPr>
        <w:t>nes normativas relacionadas con</w:t>
      </w:r>
      <w:r w:rsidRPr="00B85FC7">
        <w:rPr>
          <w:lang w:val="es-ES_tradnl"/>
        </w:rPr>
        <w:t xml:space="preserve"> las sustancias químicas en los productos, preparada por el PNUMA (véase SAICM/ICCM.4/INF/16); </w:t>
      </w:r>
      <w:proofErr w:type="spellStart"/>
      <w:r w:rsidR="005D3426" w:rsidRPr="00B85FC7">
        <w:rPr>
          <w:lang w:val="es-ES_tradnl"/>
        </w:rPr>
        <w:t>The</w:t>
      </w:r>
      <w:proofErr w:type="spellEnd"/>
      <w:r w:rsidR="005D3426" w:rsidRPr="00B85FC7">
        <w:rPr>
          <w:lang w:val="es-ES_tradnl"/>
        </w:rPr>
        <w:t xml:space="preserve"> </w:t>
      </w:r>
      <w:proofErr w:type="spellStart"/>
      <w:r w:rsidR="005D3426" w:rsidRPr="00B85FC7">
        <w:rPr>
          <w:lang w:val="es-ES_tradnl"/>
        </w:rPr>
        <w:t>business</w:t>
      </w:r>
      <w:proofErr w:type="spellEnd"/>
      <w:r w:rsidR="005D3426" w:rsidRPr="00B85FC7">
        <w:rPr>
          <w:lang w:val="es-ES_tradnl"/>
        </w:rPr>
        <w:t xml:space="preserve"> case </w:t>
      </w:r>
      <w:proofErr w:type="spellStart"/>
      <w:r w:rsidR="005D3426" w:rsidRPr="00B85FC7">
        <w:rPr>
          <w:lang w:val="es-ES_tradnl"/>
        </w:rPr>
        <w:t>for</w:t>
      </w:r>
      <w:proofErr w:type="spellEnd"/>
      <w:r w:rsidR="005D3426" w:rsidRPr="00B85FC7">
        <w:rPr>
          <w:lang w:val="es-ES_tradnl"/>
        </w:rPr>
        <w:t xml:space="preserve"> </w:t>
      </w:r>
      <w:proofErr w:type="spellStart"/>
      <w:r w:rsidR="005D3426" w:rsidRPr="00B85FC7">
        <w:rPr>
          <w:lang w:val="es-ES_tradnl"/>
        </w:rPr>
        <w:t>knowing</w:t>
      </w:r>
      <w:proofErr w:type="spellEnd"/>
      <w:r w:rsidR="005D3426" w:rsidRPr="00B85FC7">
        <w:rPr>
          <w:lang w:val="es-ES_tradnl"/>
        </w:rPr>
        <w:t xml:space="preserve"> </w:t>
      </w:r>
      <w:proofErr w:type="spellStart"/>
      <w:r w:rsidR="005D3426" w:rsidRPr="00B85FC7">
        <w:rPr>
          <w:lang w:val="es-ES_tradnl"/>
        </w:rPr>
        <w:t>chemicals</w:t>
      </w:r>
      <w:proofErr w:type="spellEnd"/>
      <w:r w:rsidR="005D3426" w:rsidRPr="00B85FC7">
        <w:rPr>
          <w:lang w:val="es-ES_tradnl"/>
        </w:rPr>
        <w:t xml:space="preserve"> in </w:t>
      </w:r>
      <w:proofErr w:type="spellStart"/>
      <w:r w:rsidR="005D3426" w:rsidRPr="00B85FC7">
        <w:rPr>
          <w:lang w:val="es-ES_tradnl"/>
        </w:rPr>
        <w:t>products</w:t>
      </w:r>
      <w:proofErr w:type="spellEnd"/>
      <w:r w:rsidR="005D3426" w:rsidRPr="00B85FC7">
        <w:rPr>
          <w:lang w:val="es-ES_tradnl"/>
        </w:rPr>
        <w:t xml:space="preserve"> and </w:t>
      </w:r>
      <w:proofErr w:type="spellStart"/>
      <w:r w:rsidR="005D3426" w:rsidRPr="00B85FC7">
        <w:rPr>
          <w:lang w:val="es-ES_tradnl"/>
        </w:rPr>
        <w:t>supply</w:t>
      </w:r>
      <w:proofErr w:type="spellEnd"/>
      <w:r w:rsidR="005D3426" w:rsidRPr="00B85FC7">
        <w:rPr>
          <w:lang w:val="es-ES_tradnl"/>
        </w:rPr>
        <w:t xml:space="preserve"> </w:t>
      </w:r>
      <w:proofErr w:type="spellStart"/>
      <w:r w:rsidR="005D3426" w:rsidRPr="00B85FC7">
        <w:rPr>
          <w:lang w:val="es-ES_tradnl"/>
        </w:rPr>
        <w:t>chains</w:t>
      </w:r>
      <w:proofErr w:type="spellEnd"/>
      <w:r w:rsidR="005D3426" w:rsidRPr="00B85FC7">
        <w:rPr>
          <w:lang w:val="es-ES_tradnl"/>
        </w:rPr>
        <w:t xml:space="preserve">, </w:t>
      </w:r>
      <w:proofErr w:type="spellStart"/>
      <w:r w:rsidR="005D3426" w:rsidRPr="00B85FC7">
        <w:rPr>
          <w:lang w:val="es-ES_tradnl"/>
        </w:rPr>
        <w:t>submitted</w:t>
      </w:r>
      <w:proofErr w:type="spellEnd"/>
      <w:r w:rsidR="005D3426" w:rsidRPr="00B85FC7">
        <w:rPr>
          <w:lang w:val="es-ES_tradnl"/>
        </w:rPr>
        <w:t xml:space="preserve"> </w:t>
      </w:r>
      <w:proofErr w:type="spellStart"/>
      <w:r w:rsidR="005D3426" w:rsidRPr="00B85FC7">
        <w:rPr>
          <w:lang w:val="es-ES_tradnl"/>
        </w:rPr>
        <w:t>by</w:t>
      </w:r>
      <w:proofErr w:type="spellEnd"/>
      <w:r w:rsidR="005D3426" w:rsidRPr="00B85FC7">
        <w:rPr>
          <w:lang w:val="es-ES_tradnl"/>
        </w:rPr>
        <w:t xml:space="preserve"> </w:t>
      </w:r>
      <w:proofErr w:type="spellStart"/>
      <w:r w:rsidR="005D3426" w:rsidRPr="00B85FC7">
        <w:rPr>
          <w:lang w:val="es-ES_tradnl"/>
        </w:rPr>
        <w:t>the</w:t>
      </w:r>
      <w:proofErr w:type="spellEnd"/>
      <w:r w:rsidR="005D3426" w:rsidRPr="00B85FC7">
        <w:rPr>
          <w:lang w:val="es-ES_tradnl"/>
        </w:rPr>
        <w:t xml:space="preserve"> Inter-</w:t>
      </w:r>
      <w:proofErr w:type="spellStart"/>
      <w:r w:rsidR="005D3426" w:rsidRPr="00B85FC7">
        <w:rPr>
          <w:lang w:val="es-ES_tradnl"/>
        </w:rPr>
        <w:t>Organization</w:t>
      </w:r>
      <w:proofErr w:type="spellEnd"/>
      <w:r w:rsidR="005D3426" w:rsidRPr="00B85FC7">
        <w:rPr>
          <w:lang w:val="es-ES_tradnl"/>
        </w:rPr>
        <w:t xml:space="preserve"> </w:t>
      </w:r>
      <w:proofErr w:type="spellStart"/>
      <w:r w:rsidR="005D3426" w:rsidRPr="00B85FC7">
        <w:rPr>
          <w:lang w:val="es-ES_tradnl"/>
        </w:rPr>
        <w:t>Programme</w:t>
      </w:r>
      <w:proofErr w:type="spellEnd"/>
      <w:r w:rsidR="005D3426" w:rsidRPr="00B85FC7">
        <w:rPr>
          <w:lang w:val="es-ES_tradnl"/>
        </w:rPr>
        <w:t xml:space="preserve"> </w:t>
      </w:r>
      <w:proofErr w:type="spellStart"/>
      <w:r w:rsidR="005D3426" w:rsidRPr="00B85FC7">
        <w:rPr>
          <w:lang w:val="es-ES_tradnl"/>
        </w:rPr>
        <w:t>for</w:t>
      </w:r>
      <w:proofErr w:type="spellEnd"/>
      <w:r w:rsidR="005D3426" w:rsidRPr="00B85FC7">
        <w:rPr>
          <w:lang w:val="es-ES_tradnl"/>
        </w:rPr>
        <w:t xml:space="preserve"> </w:t>
      </w:r>
      <w:proofErr w:type="spellStart"/>
      <w:r w:rsidR="005D3426" w:rsidRPr="00B85FC7">
        <w:rPr>
          <w:lang w:val="es-ES_tradnl"/>
        </w:rPr>
        <w:t>the</w:t>
      </w:r>
      <w:proofErr w:type="spellEnd"/>
      <w:r w:rsidR="005D3426" w:rsidRPr="00B85FC7">
        <w:rPr>
          <w:lang w:val="es-ES_tradnl"/>
        </w:rPr>
        <w:t xml:space="preserve"> </w:t>
      </w:r>
      <w:proofErr w:type="spellStart"/>
      <w:r w:rsidR="005D3426" w:rsidRPr="00B85FC7">
        <w:rPr>
          <w:lang w:val="es-ES_tradnl"/>
        </w:rPr>
        <w:t>Sound</w:t>
      </w:r>
      <w:proofErr w:type="spellEnd"/>
      <w:r w:rsidR="005D3426" w:rsidRPr="00B85FC7">
        <w:rPr>
          <w:lang w:val="es-ES_tradnl"/>
        </w:rPr>
        <w:t xml:space="preserve"> Management of </w:t>
      </w:r>
      <w:proofErr w:type="spellStart"/>
      <w:r w:rsidR="005D3426" w:rsidRPr="00B85FC7">
        <w:rPr>
          <w:lang w:val="es-ES_tradnl"/>
        </w:rPr>
        <w:t>Chemicals</w:t>
      </w:r>
      <w:proofErr w:type="spellEnd"/>
      <w:r w:rsidR="005D3426" w:rsidRPr="00B85FC7">
        <w:rPr>
          <w:lang w:val="es-ES_tradnl"/>
        </w:rPr>
        <w:t xml:space="preserve"> (Análisis comerciar para </w:t>
      </w:r>
      <w:proofErr w:type="spellStart"/>
      <w:r w:rsidR="005D3426" w:rsidRPr="00B85FC7">
        <w:rPr>
          <w:lang w:val="es-ES_tradnl"/>
        </w:rPr>
        <w:t>determiner</w:t>
      </w:r>
      <w:proofErr w:type="spellEnd"/>
      <w:r w:rsidR="005D3426" w:rsidRPr="00B85FC7">
        <w:rPr>
          <w:lang w:val="es-ES_tradnl"/>
        </w:rPr>
        <w:t xml:space="preserve"> la presencia de sustancias químicas en los productos y las cadenas de suministro, presentado por el Programa Interinstitucional para la Gestión Racional de los Productos Químicos (véase SAICM/ICCM.4/INF/17); </w:t>
      </w:r>
    </w:p>
    <w:p w:rsidR="00A82CE5" w:rsidRPr="00100F71" w:rsidRDefault="00687CDC" w:rsidP="00100F71">
      <w:pPr>
        <w:pStyle w:val="Normalnumber"/>
        <w:numPr>
          <w:ilvl w:val="1"/>
          <w:numId w:val="19"/>
        </w:numPr>
        <w:tabs>
          <w:tab w:val="clear" w:pos="624"/>
          <w:tab w:val="clear" w:pos="1247"/>
        </w:tabs>
        <w:ind w:left="1247" w:firstLine="624"/>
        <w:rPr>
          <w:lang w:val="es-ES_tradnl"/>
        </w:rPr>
      </w:pPr>
      <w:proofErr w:type="spellStart"/>
      <w:r w:rsidRPr="00100F71">
        <w:rPr>
          <w:lang w:val="es-ES_tradnl"/>
        </w:rPr>
        <w:t>Emerging</w:t>
      </w:r>
      <w:proofErr w:type="spellEnd"/>
      <w:r w:rsidRPr="00100F71">
        <w:rPr>
          <w:lang w:val="es-ES_tradnl"/>
        </w:rPr>
        <w:t xml:space="preserve"> </w:t>
      </w:r>
      <w:proofErr w:type="spellStart"/>
      <w:r w:rsidRPr="00100F71">
        <w:rPr>
          <w:lang w:val="es-ES_tradnl"/>
        </w:rPr>
        <w:t>policy</w:t>
      </w:r>
      <w:proofErr w:type="spellEnd"/>
      <w:r w:rsidRPr="00100F71">
        <w:rPr>
          <w:lang w:val="es-ES_tradnl"/>
        </w:rPr>
        <w:t xml:space="preserve"> </w:t>
      </w:r>
      <w:proofErr w:type="spellStart"/>
      <w:r w:rsidRPr="00100F71">
        <w:rPr>
          <w:lang w:val="es-ES_tradnl"/>
        </w:rPr>
        <w:t>issue</w:t>
      </w:r>
      <w:proofErr w:type="spellEnd"/>
      <w:r w:rsidRPr="00100F71">
        <w:rPr>
          <w:lang w:val="es-ES_tradnl"/>
        </w:rPr>
        <w:t xml:space="preserve"> </w:t>
      </w:r>
      <w:proofErr w:type="spellStart"/>
      <w:r w:rsidRPr="00100F71">
        <w:rPr>
          <w:lang w:val="es-ES_tradnl"/>
        </w:rPr>
        <w:t>update</w:t>
      </w:r>
      <w:proofErr w:type="spellEnd"/>
      <w:r w:rsidRPr="00100F71">
        <w:rPr>
          <w:lang w:val="es-ES_tradnl"/>
        </w:rPr>
        <w:t xml:space="preserve"> </w:t>
      </w:r>
      <w:proofErr w:type="spellStart"/>
      <w:r w:rsidRPr="00100F71">
        <w:rPr>
          <w:lang w:val="es-ES_tradnl"/>
        </w:rPr>
        <w:t>on</w:t>
      </w:r>
      <w:proofErr w:type="spellEnd"/>
      <w:r w:rsidRPr="00100F71">
        <w:rPr>
          <w:lang w:val="es-ES_tradnl"/>
        </w:rPr>
        <w:t xml:space="preserve"> </w:t>
      </w:r>
      <w:proofErr w:type="spellStart"/>
      <w:r w:rsidRPr="00100F71">
        <w:rPr>
          <w:lang w:val="es-ES_tradnl"/>
        </w:rPr>
        <w:t>hazardous</w:t>
      </w:r>
      <w:proofErr w:type="spellEnd"/>
      <w:r w:rsidRPr="00100F71">
        <w:rPr>
          <w:lang w:val="es-ES_tradnl"/>
        </w:rPr>
        <w:t xml:space="preserve"> </w:t>
      </w:r>
      <w:proofErr w:type="spellStart"/>
      <w:r w:rsidRPr="00100F71">
        <w:rPr>
          <w:lang w:val="es-ES_tradnl"/>
        </w:rPr>
        <w:t>substances</w:t>
      </w:r>
      <w:proofErr w:type="spellEnd"/>
      <w:r w:rsidRPr="00100F71">
        <w:rPr>
          <w:lang w:val="es-ES_tradnl"/>
        </w:rPr>
        <w:t xml:space="preserve"> </w:t>
      </w:r>
      <w:proofErr w:type="spellStart"/>
      <w:r w:rsidRPr="00100F71">
        <w:rPr>
          <w:lang w:val="es-ES_tradnl"/>
        </w:rPr>
        <w:t>within</w:t>
      </w:r>
      <w:proofErr w:type="spellEnd"/>
      <w:r w:rsidRPr="00100F71">
        <w:rPr>
          <w:lang w:val="es-ES_tradnl"/>
        </w:rPr>
        <w:t xml:space="preserve"> </w:t>
      </w:r>
      <w:proofErr w:type="spellStart"/>
      <w:r w:rsidRPr="00100F71">
        <w:rPr>
          <w:lang w:val="es-ES_tradnl"/>
        </w:rPr>
        <w:t>the</w:t>
      </w:r>
      <w:proofErr w:type="spellEnd"/>
      <w:r w:rsidRPr="00100F71">
        <w:rPr>
          <w:lang w:val="es-ES_tradnl"/>
        </w:rPr>
        <w:t xml:space="preserve"> </w:t>
      </w:r>
      <w:proofErr w:type="spellStart"/>
      <w:r w:rsidRPr="00100F71">
        <w:rPr>
          <w:lang w:val="es-ES_tradnl"/>
        </w:rPr>
        <w:t>life</w:t>
      </w:r>
      <w:proofErr w:type="spellEnd"/>
      <w:r w:rsidRPr="00100F71">
        <w:rPr>
          <w:lang w:val="es-ES_tradnl"/>
        </w:rPr>
        <w:t xml:space="preserve"> </w:t>
      </w:r>
      <w:proofErr w:type="spellStart"/>
      <w:r w:rsidRPr="00100F71">
        <w:rPr>
          <w:lang w:val="es-ES_tradnl"/>
        </w:rPr>
        <w:t>cycle</w:t>
      </w:r>
      <w:proofErr w:type="spellEnd"/>
      <w:r w:rsidRPr="00100F71">
        <w:rPr>
          <w:lang w:val="es-ES_tradnl"/>
        </w:rPr>
        <w:t xml:space="preserve"> of </w:t>
      </w:r>
      <w:proofErr w:type="spellStart"/>
      <w:r w:rsidRPr="00100F71">
        <w:rPr>
          <w:lang w:val="es-ES_tradnl"/>
        </w:rPr>
        <w:t>electrical</w:t>
      </w:r>
      <w:proofErr w:type="spellEnd"/>
      <w:r w:rsidRPr="00100F71">
        <w:rPr>
          <w:lang w:val="es-ES_tradnl"/>
        </w:rPr>
        <w:t xml:space="preserve"> and </w:t>
      </w:r>
      <w:proofErr w:type="spellStart"/>
      <w:r w:rsidRPr="00100F71">
        <w:rPr>
          <w:lang w:val="es-ES_tradnl"/>
        </w:rPr>
        <w:t>electronic</w:t>
      </w:r>
      <w:proofErr w:type="spellEnd"/>
      <w:r w:rsidRPr="00100F71">
        <w:rPr>
          <w:lang w:val="es-ES_tradnl"/>
        </w:rPr>
        <w:t xml:space="preserve"> </w:t>
      </w:r>
      <w:proofErr w:type="spellStart"/>
      <w:r w:rsidRPr="00100F71">
        <w:rPr>
          <w:lang w:val="es-ES_tradnl"/>
        </w:rPr>
        <w:t>products</w:t>
      </w:r>
      <w:proofErr w:type="spellEnd"/>
      <w:r w:rsidRPr="00100F71">
        <w:rPr>
          <w:lang w:val="es-ES_tradnl"/>
        </w:rPr>
        <w:t xml:space="preserve">, </w:t>
      </w:r>
      <w:proofErr w:type="spellStart"/>
      <w:r w:rsidRPr="00100F71">
        <w:rPr>
          <w:lang w:val="es-ES_tradnl"/>
        </w:rPr>
        <w:t>prepared</w:t>
      </w:r>
      <w:proofErr w:type="spellEnd"/>
      <w:r w:rsidRPr="00100F71">
        <w:rPr>
          <w:lang w:val="es-ES_tradnl"/>
        </w:rPr>
        <w:t xml:space="preserve"> </w:t>
      </w:r>
      <w:proofErr w:type="spellStart"/>
      <w:r w:rsidRPr="00100F71">
        <w:rPr>
          <w:lang w:val="es-ES_tradnl"/>
        </w:rPr>
        <w:t>by</w:t>
      </w:r>
      <w:proofErr w:type="spellEnd"/>
      <w:r w:rsidRPr="00100F71">
        <w:rPr>
          <w:lang w:val="es-ES_tradnl"/>
        </w:rPr>
        <w:t xml:space="preserve"> </w:t>
      </w:r>
      <w:proofErr w:type="spellStart"/>
      <w:r w:rsidRPr="00100F71">
        <w:rPr>
          <w:lang w:val="es-ES_tradnl"/>
        </w:rPr>
        <w:t>the</w:t>
      </w:r>
      <w:proofErr w:type="spellEnd"/>
      <w:r w:rsidRPr="00100F71">
        <w:rPr>
          <w:lang w:val="es-ES_tradnl"/>
        </w:rPr>
        <w:t xml:space="preserve"> </w:t>
      </w:r>
      <w:proofErr w:type="spellStart"/>
      <w:r w:rsidRPr="00100F71">
        <w:rPr>
          <w:lang w:val="es-ES_tradnl"/>
        </w:rPr>
        <w:t>United</w:t>
      </w:r>
      <w:proofErr w:type="spellEnd"/>
      <w:r w:rsidRPr="00100F71">
        <w:rPr>
          <w:lang w:val="es-ES_tradnl"/>
        </w:rPr>
        <w:t xml:space="preserve"> </w:t>
      </w:r>
      <w:proofErr w:type="spellStart"/>
      <w:r w:rsidRPr="00100F71">
        <w:rPr>
          <w:lang w:val="es-ES_tradnl"/>
        </w:rPr>
        <w:t>Nations</w:t>
      </w:r>
      <w:proofErr w:type="spellEnd"/>
      <w:r w:rsidRPr="00100F71">
        <w:rPr>
          <w:lang w:val="es-ES_tradnl"/>
        </w:rPr>
        <w:t xml:space="preserve"> Industrial </w:t>
      </w:r>
      <w:proofErr w:type="spellStart"/>
      <w:r w:rsidRPr="00100F71">
        <w:rPr>
          <w:lang w:val="es-ES_tradnl"/>
        </w:rPr>
        <w:t>Development</w:t>
      </w:r>
      <w:proofErr w:type="spellEnd"/>
      <w:r w:rsidRPr="00100F71">
        <w:rPr>
          <w:lang w:val="es-ES_tradnl"/>
        </w:rPr>
        <w:t xml:space="preserve"> </w:t>
      </w:r>
      <w:proofErr w:type="spellStart"/>
      <w:r w:rsidRPr="00100F71">
        <w:rPr>
          <w:lang w:val="es-ES_tradnl"/>
        </w:rPr>
        <w:t>Organization</w:t>
      </w:r>
      <w:proofErr w:type="spellEnd"/>
      <w:r w:rsidRPr="00100F71">
        <w:rPr>
          <w:lang w:val="es-ES_tradnl"/>
        </w:rPr>
        <w:t xml:space="preserve"> (</w:t>
      </w:r>
      <w:r w:rsidR="00A82CE5" w:rsidRPr="00100F71">
        <w:rPr>
          <w:lang w:val="es-ES_tradnl"/>
        </w:rPr>
        <w:t xml:space="preserve">Información actualizada sobre </w:t>
      </w:r>
      <w:r w:rsidRPr="00100F71">
        <w:rPr>
          <w:lang w:val="es-ES_tradnl"/>
        </w:rPr>
        <w:t xml:space="preserve">nuevas cuestiones normativas relacionadas con </w:t>
      </w:r>
      <w:r w:rsidR="00A82CE5" w:rsidRPr="00100F71">
        <w:rPr>
          <w:lang w:val="es-ES_tradnl"/>
        </w:rPr>
        <w:t>las sustancias peligrosas en aparatos eléctricos y electrónicos, preparada por la Organización de las Naciones Unidas para el Desarrollo Industrial</w:t>
      </w:r>
      <w:r w:rsidRPr="00100F71">
        <w:rPr>
          <w:lang w:val="es-ES_tradnl"/>
        </w:rPr>
        <w:t>)</w:t>
      </w:r>
      <w:r w:rsidR="00A82CE5" w:rsidRPr="00100F71">
        <w:rPr>
          <w:lang w:val="es-ES_tradnl"/>
        </w:rPr>
        <w:t xml:space="preserve"> (véase SAICM/ICCM.4/INF/18);</w:t>
      </w:r>
    </w:p>
    <w:p w:rsidR="00A82CE5" w:rsidRPr="00100F71" w:rsidRDefault="005D3426" w:rsidP="00100F71">
      <w:pPr>
        <w:pStyle w:val="Normalnumber"/>
        <w:numPr>
          <w:ilvl w:val="1"/>
          <w:numId w:val="19"/>
        </w:numPr>
        <w:tabs>
          <w:tab w:val="clear" w:pos="624"/>
          <w:tab w:val="clear" w:pos="1247"/>
        </w:tabs>
        <w:ind w:left="1247" w:firstLine="624"/>
        <w:rPr>
          <w:lang w:val="es-ES_tradnl"/>
        </w:rPr>
      </w:pPr>
      <w:proofErr w:type="spellStart"/>
      <w:r w:rsidRPr="00100F71">
        <w:rPr>
          <w:lang w:val="es-ES_tradnl"/>
        </w:rPr>
        <w:t>Emerging</w:t>
      </w:r>
      <w:proofErr w:type="spellEnd"/>
      <w:r w:rsidRPr="00100F71">
        <w:rPr>
          <w:lang w:val="es-ES_tradnl"/>
        </w:rPr>
        <w:t xml:space="preserve"> </w:t>
      </w:r>
      <w:proofErr w:type="spellStart"/>
      <w:r w:rsidRPr="00100F71">
        <w:rPr>
          <w:lang w:val="es-ES_tradnl"/>
        </w:rPr>
        <w:t>policy</w:t>
      </w:r>
      <w:proofErr w:type="spellEnd"/>
      <w:r w:rsidRPr="00100F71">
        <w:rPr>
          <w:lang w:val="es-ES_tradnl"/>
        </w:rPr>
        <w:t xml:space="preserve"> </w:t>
      </w:r>
      <w:proofErr w:type="spellStart"/>
      <w:r w:rsidRPr="00100F71">
        <w:rPr>
          <w:lang w:val="es-ES_tradnl"/>
        </w:rPr>
        <w:t>issue</w:t>
      </w:r>
      <w:proofErr w:type="spellEnd"/>
      <w:r w:rsidRPr="00100F71">
        <w:rPr>
          <w:lang w:val="es-ES_tradnl"/>
        </w:rPr>
        <w:t xml:space="preserve"> </w:t>
      </w:r>
      <w:proofErr w:type="spellStart"/>
      <w:r w:rsidRPr="00100F71">
        <w:rPr>
          <w:lang w:val="es-ES_tradnl"/>
        </w:rPr>
        <w:t>update</w:t>
      </w:r>
      <w:proofErr w:type="spellEnd"/>
      <w:r w:rsidRPr="00100F71">
        <w:rPr>
          <w:lang w:val="es-ES_tradnl"/>
        </w:rPr>
        <w:t xml:space="preserve"> </w:t>
      </w:r>
      <w:proofErr w:type="spellStart"/>
      <w:r w:rsidRPr="00100F71">
        <w:rPr>
          <w:lang w:val="es-ES_tradnl"/>
        </w:rPr>
        <w:t>on</w:t>
      </w:r>
      <w:proofErr w:type="spellEnd"/>
      <w:r w:rsidRPr="00100F71">
        <w:rPr>
          <w:lang w:val="es-ES_tradnl"/>
        </w:rPr>
        <w:t xml:space="preserve"> </w:t>
      </w:r>
      <w:proofErr w:type="spellStart"/>
      <w:r w:rsidRPr="00100F71">
        <w:rPr>
          <w:lang w:val="es-ES_tradnl"/>
        </w:rPr>
        <w:t>nanotechnology</w:t>
      </w:r>
      <w:proofErr w:type="spellEnd"/>
      <w:r w:rsidRPr="00100F71">
        <w:rPr>
          <w:lang w:val="es-ES_tradnl"/>
        </w:rPr>
        <w:t xml:space="preserve"> and </w:t>
      </w:r>
      <w:proofErr w:type="spellStart"/>
      <w:r w:rsidRPr="00100F71">
        <w:rPr>
          <w:lang w:val="es-ES_tradnl"/>
        </w:rPr>
        <w:t>manufactured</w:t>
      </w:r>
      <w:proofErr w:type="spellEnd"/>
      <w:r w:rsidRPr="00100F71">
        <w:rPr>
          <w:lang w:val="es-ES_tradnl"/>
        </w:rPr>
        <w:t xml:space="preserve"> </w:t>
      </w:r>
      <w:proofErr w:type="spellStart"/>
      <w:r w:rsidRPr="00100F71">
        <w:rPr>
          <w:lang w:val="es-ES_tradnl"/>
        </w:rPr>
        <w:t>nanomaterials</w:t>
      </w:r>
      <w:proofErr w:type="spellEnd"/>
      <w:r w:rsidRPr="00100F71">
        <w:rPr>
          <w:lang w:val="es-ES_tradnl"/>
        </w:rPr>
        <w:t xml:space="preserve">, </w:t>
      </w:r>
      <w:proofErr w:type="spellStart"/>
      <w:r w:rsidRPr="00100F71">
        <w:rPr>
          <w:lang w:val="es-ES_tradnl"/>
        </w:rPr>
        <w:t>prepared</w:t>
      </w:r>
      <w:proofErr w:type="spellEnd"/>
      <w:r w:rsidRPr="00100F71">
        <w:rPr>
          <w:lang w:val="es-ES_tradnl"/>
        </w:rPr>
        <w:t xml:space="preserve"> </w:t>
      </w:r>
      <w:proofErr w:type="spellStart"/>
      <w:r w:rsidRPr="00100F71">
        <w:rPr>
          <w:lang w:val="es-ES_tradnl"/>
        </w:rPr>
        <w:t>by</w:t>
      </w:r>
      <w:proofErr w:type="spellEnd"/>
      <w:r w:rsidRPr="00100F71">
        <w:rPr>
          <w:lang w:val="es-ES_tradnl"/>
        </w:rPr>
        <w:t xml:space="preserve"> </w:t>
      </w:r>
      <w:proofErr w:type="spellStart"/>
      <w:r w:rsidRPr="00100F71">
        <w:rPr>
          <w:lang w:val="es-ES_tradnl"/>
        </w:rPr>
        <w:t>the</w:t>
      </w:r>
      <w:proofErr w:type="spellEnd"/>
      <w:r w:rsidRPr="00100F71">
        <w:rPr>
          <w:lang w:val="es-ES_tradnl"/>
        </w:rPr>
        <w:t xml:space="preserve"> </w:t>
      </w:r>
      <w:proofErr w:type="spellStart"/>
      <w:r w:rsidRPr="00100F71">
        <w:rPr>
          <w:lang w:val="es-ES_tradnl"/>
        </w:rPr>
        <w:t>Organization</w:t>
      </w:r>
      <w:proofErr w:type="spellEnd"/>
      <w:r w:rsidRPr="00100F71">
        <w:rPr>
          <w:lang w:val="es-ES_tradnl"/>
        </w:rPr>
        <w:t xml:space="preserve"> </w:t>
      </w:r>
      <w:proofErr w:type="spellStart"/>
      <w:r w:rsidRPr="00100F71">
        <w:rPr>
          <w:lang w:val="es-ES_tradnl"/>
        </w:rPr>
        <w:t>for</w:t>
      </w:r>
      <w:proofErr w:type="spellEnd"/>
      <w:r w:rsidRPr="00100F71">
        <w:rPr>
          <w:lang w:val="es-ES_tradnl"/>
        </w:rPr>
        <w:t xml:space="preserve"> </w:t>
      </w:r>
      <w:proofErr w:type="spellStart"/>
      <w:r w:rsidRPr="00100F71">
        <w:rPr>
          <w:lang w:val="es-ES_tradnl"/>
        </w:rPr>
        <w:t>Economic</w:t>
      </w:r>
      <w:proofErr w:type="spellEnd"/>
      <w:r w:rsidRPr="00100F71">
        <w:rPr>
          <w:lang w:val="es-ES_tradnl"/>
        </w:rPr>
        <w:t xml:space="preserve"> </w:t>
      </w:r>
      <w:proofErr w:type="spellStart"/>
      <w:r w:rsidRPr="00100F71">
        <w:rPr>
          <w:lang w:val="es-ES_tradnl"/>
        </w:rPr>
        <w:t>Cooperation</w:t>
      </w:r>
      <w:proofErr w:type="spellEnd"/>
      <w:r w:rsidRPr="00100F71">
        <w:rPr>
          <w:lang w:val="es-ES_tradnl"/>
        </w:rPr>
        <w:t xml:space="preserve"> and </w:t>
      </w:r>
      <w:proofErr w:type="spellStart"/>
      <w:r w:rsidRPr="00100F71">
        <w:rPr>
          <w:lang w:val="es-ES_tradnl"/>
        </w:rPr>
        <w:t>Development</w:t>
      </w:r>
      <w:proofErr w:type="spellEnd"/>
      <w:r w:rsidRPr="00100F71">
        <w:rPr>
          <w:lang w:val="es-ES_tradnl"/>
        </w:rPr>
        <w:t xml:space="preserve"> (OECD) and </w:t>
      </w:r>
      <w:proofErr w:type="spellStart"/>
      <w:r w:rsidRPr="00100F71">
        <w:rPr>
          <w:lang w:val="es-ES_tradnl"/>
        </w:rPr>
        <w:t>the</w:t>
      </w:r>
      <w:proofErr w:type="spellEnd"/>
      <w:r w:rsidRPr="00100F71">
        <w:rPr>
          <w:lang w:val="es-ES_tradnl"/>
        </w:rPr>
        <w:t xml:space="preserve"> </w:t>
      </w:r>
      <w:proofErr w:type="spellStart"/>
      <w:r w:rsidRPr="00100F71">
        <w:rPr>
          <w:lang w:val="es-ES_tradnl"/>
        </w:rPr>
        <w:t>United</w:t>
      </w:r>
      <w:proofErr w:type="spellEnd"/>
      <w:r w:rsidRPr="00100F71">
        <w:rPr>
          <w:lang w:val="es-ES_tradnl"/>
        </w:rPr>
        <w:t xml:space="preserve"> </w:t>
      </w:r>
      <w:proofErr w:type="spellStart"/>
      <w:r w:rsidRPr="00100F71">
        <w:rPr>
          <w:lang w:val="es-ES_tradnl"/>
        </w:rPr>
        <w:t>Nations</w:t>
      </w:r>
      <w:proofErr w:type="spellEnd"/>
      <w:r w:rsidRPr="00100F71">
        <w:rPr>
          <w:lang w:val="es-ES_tradnl"/>
        </w:rPr>
        <w:t xml:space="preserve"> </w:t>
      </w:r>
      <w:proofErr w:type="spellStart"/>
      <w:r w:rsidRPr="00100F71">
        <w:rPr>
          <w:lang w:val="es-ES_tradnl"/>
        </w:rPr>
        <w:t>Institute</w:t>
      </w:r>
      <w:proofErr w:type="spellEnd"/>
      <w:r w:rsidRPr="00100F71">
        <w:rPr>
          <w:lang w:val="es-ES_tradnl"/>
        </w:rPr>
        <w:t xml:space="preserve"> </w:t>
      </w:r>
      <w:proofErr w:type="spellStart"/>
      <w:r w:rsidRPr="00100F71">
        <w:rPr>
          <w:lang w:val="es-ES_tradnl"/>
        </w:rPr>
        <w:t>for</w:t>
      </w:r>
      <w:proofErr w:type="spellEnd"/>
      <w:r w:rsidRPr="00100F71">
        <w:rPr>
          <w:lang w:val="es-ES_tradnl"/>
        </w:rPr>
        <w:t xml:space="preserve"> Training and </w:t>
      </w:r>
      <w:proofErr w:type="spellStart"/>
      <w:r w:rsidRPr="00100F71">
        <w:rPr>
          <w:lang w:val="es-ES_tradnl"/>
        </w:rPr>
        <w:t>Research</w:t>
      </w:r>
      <w:proofErr w:type="spellEnd"/>
      <w:r w:rsidRPr="00100F71">
        <w:rPr>
          <w:lang w:val="es-ES_tradnl"/>
        </w:rPr>
        <w:t xml:space="preserve"> (</w:t>
      </w:r>
      <w:r w:rsidR="00A82CE5" w:rsidRPr="00100F71">
        <w:rPr>
          <w:lang w:val="es-ES_tradnl"/>
        </w:rPr>
        <w:t xml:space="preserve">Información actualizada </w:t>
      </w:r>
      <w:r w:rsidR="00687CDC" w:rsidRPr="00100F71">
        <w:rPr>
          <w:lang w:val="es-ES_tradnl"/>
        </w:rPr>
        <w:t>sobre nuevas cuestiones normativas relacionadas con</w:t>
      </w:r>
      <w:r w:rsidR="00A82CE5" w:rsidRPr="00100F71">
        <w:rPr>
          <w:lang w:val="es-ES_tradnl"/>
        </w:rPr>
        <w:t xml:space="preserve"> la nanotecnología y los </w:t>
      </w:r>
      <w:proofErr w:type="spellStart"/>
      <w:r w:rsidR="00A82CE5" w:rsidRPr="00100F71">
        <w:rPr>
          <w:lang w:val="es-ES_tradnl"/>
        </w:rPr>
        <w:t>nanomateriales</w:t>
      </w:r>
      <w:proofErr w:type="spellEnd"/>
      <w:r w:rsidR="00A82CE5" w:rsidRPr="00100F71">
        <w:rPr>
          <w:lang w:val="es-ES_tradnl"/>
        </w:rPr>
        <w:t xml:space="preserve"> manufacturados, preparada por la Organización de Cooperación y Desarrollo Económicos (OCDE) y el Instituto de las Naciones Unidas para Formación Profesional e Investigaciones</w:t>
      </w:r>
      <w:r w:rsidRPr="00100F71">
        <w:rPr>
          <w:lang w:val="es-ES_tradnl"/>
        </w:rPr>
        <w:t>)</w:t>
      </w:r>
      <w:r w:rsidR="00A82CE5" w:rsidRPr="00100F71">
        <w:rPr>
          <w:lang w:val="es-ES_tradnl"/>
        </w:rPr>
        <w:t xml:space="preserve"> (véase SAICM/ICCM.4/INF/19);</w:t>
      </w:r>
    </w:p>
    <w:p w:rsidR="005D3426" w:rsidRPr="00100F71" w:rsidRDefault="005D3426" w:rsidP="00100F71">
      <w:pPr>
        <w:pStyle w:val="Normalnumber"/>
        <w:numPr>
          <w:ilvl w:val="1"/>
          <w:numId w:val="19"/>
        </w:numPr>
        <w:tabs>
          <w:tab w:val="clear" w:pos="624"/>
          <w:tab w:val="clear" w:pos="1247"/>
        </w:tabs>
        <w:ind w:left="1247" w:firstLine="624"/>
        <w:rPr>
          <w:lang w:val="es-ES_tradnl"/>
        </w:rPr>
      </w:pPr>
      <w:proofErr w:type="spellStart"/>
      <w:r w:rsidRPr="00100F71">
        <w:rPr>
          <w:lang w:val="es-ES_tradnl"/>
        </w:rPr>
        <w:t>Emerging</w:t>
      </w:r>
      <w:proofErr w:type="spellEnd"/>
      <w:r w:rsidRPr="00100F71">
        <w:rPr>
          <w:lang w:val="es-ES_tradnl"/>
        </w:rPr>
        <w:t xml:space="preserve"> </w:t>
      </w:r>
      <w:proofErr w:type="spellStart"/>
      <w:r w:rsidRPr="00100F71">
        <w:rPr>
          <w:lang w:val="es-ES_tradnl"/>
        </w:rPr>
        <w:t>policy</w:t>
      </w:r>
      <w:proofErr w:type="spellEnd"/>
      <w:r w:rsidRPr="00100F71">
        <w:rPr>
          <w:lang w:val="es-ES_tradnl"/>
        </w:rPr>
        <w:t xml:space="preserve"> </w:t>
      </w:r>
      <w:proofErr w:type="spellStart"/>
      <w:r w:rsidRPr="00100F71">
        <w:rPr>
          <w:lang w:val="es-ES_tradnl"/>
        </w:rPr>
        <w:t>issue</w:t>
      </w:r>
      <w:proofErr w:type="spellEnd"/>
      <w:r w:rsidRPr="00100F71">
        <w:rPr>
          <w:lang w:val="es-ES_tradnl"/>
        </w:rPr>
        <w:t xml:space="preserve"> </w:t>
      </w:r>
      <w:proofErr w:type="spellStart"/>
      <w:r w:rsidRPr="00100F71">
        <w:rPr>
          <w:lang w:val="es-ES_tradnl"/>
        </w:rPr>
        <w:t>update</w:t>
      </w:r>
      <w:proofErr w:type="spellEnd"/>
      <w:r w:rsidRPr="00100F71">
        <w:rPr>
          <w:lang w:val="es-ES_tradnl"/>
        </w:rPr>
        <w:t xml:space="preserve"> </w:t>
      </w:r>
      <w:proofErr w:type="spellStart"/>
      <w:r w:rsidRPr="00100F71">
        <w:rPr>
          <w:lang w:val="es-ES_tradnl"/>
        </w:rPr>
        <w:t>on</w:t>
      </w:r>
      <w:proofErr w:type="spellEnd"/>
      <w:r w:rsidRPr="00100F71">
        <w:rPr>
          <w:lang w:val="es-ES_tradnl"/>
        </w:rPr>
        <w:t xml:space="preserve"> </w:t>
      </w:r>
      <w:proofErr w:type="spellStart"/>
      <w:r w:rsidRPr="00100F71">
        <w:rPr>
          <w:lang w:val="es-ES_tradnl"/>
        </w:rPr>
        <w:t>endocrine-di</w:t>
      </w:r>
      <w:r w:rsidR="00A50CFF">
        <w:rPr>
          <w:lang w:val="es-ES_tradnl"/>
        </w:rPr>
        <w:t>srupting</w:t>
      </w:r>
      <w:proofErr w:type="spellEnd"/>
      <w:r w:rsidR="00A50CFF">
        <w:rPr>
          <w:lang w:val="es-ES_tradnl"/>
        </w:rPr>
        <w:t xml:space="preserve"> </w:t>
      </w:r>
      <w:proofErr w:type="spellStart"/>
      <w:r w:rsidR="00A50CFF">
        <w:rPr>
          <w:lang w:val="es-ES_tradnl"/>
        </w:rPr>
        <w:t>chemicals</w:t>
      </w:r>
      <w:proofErr w:type="spellEnd"/>
      <w:r w:rsidR="00A50CFF">
        <w:rPr>
          <w:lang w:val="es-ES_tradnl"/>
        </w:rPr>
        <w:t xml:space="preserve">, </w:t>
      </w:r>
      <w:proofErr w:type="spellStart"/>
      <w:r w:rsidR="00A50CFF">
        <w:rPr>
          <w:lang w:val="es-ES_tradnl"/>
        </w:rPr>
        <w:t>prepared</w:t>
      </w:r>
      <w:proofErr w:type="spellEnd"/>
      <w:r w:rsidR="00A50CFF">
        <w:rPr>
          <w:lang w:val="es-ES_tradnl"/>
        </w:rPr>
        <w:t xml:space="preserve"> </w:t>
      </w:r>
      <w:proofErr w:type="spellStart"/>
      <w:r w:rsidR="00A50CFF">
        <w:rPr>
          <w:lang w:val="es-ES_tradnl"/>
        </w:rPr>
        <w:t>by</w:t>
      </w:r>
      <w:proofErr w:type="spellEnd"/>
      <w:r w:rsidR="00A50CFF">
        <w:rPr>
          <w:lang w:val="es-ES_tradnl"/>
        </w:rPr>
        <w:t> </w:t>
      </w:r>
      <w:r w:rsidRPr="00100F71">
        <w:rPr>
          <w:lang w:val="es-ES_tradnl"/>
        </w:rPr>
        <w:t>OECD, UNEP and WHO (</w:t>
      </w:r>
      <w:r w:rsidR="00A82CE5" w:rsidRPr="00100F71">
        <w:rPr>
          <w:lang w:val="es-ES_tradnl"/>
        </w:rPr>
        <w:t xml:space="preserve">Información actualizada sobre </w:t>
      </w:r>
      <w:r w:rsidRPr="00100F71">
        <w:rPr>
          <w:lang w:val="es-ES_tradnl"/>
        </w:rPr>
        <w:t xml:space="preserve">nuevas cuestiones normativas relacionadas con </w:t>
      </w:r>
      <w:r w:rsidR="006D4A3A">
        <w:rPr>
          <w:lang w:val="es-ES_tradnl"/>
        </w:rPr>
        <w:t>los </w:t>
      </w:r>
      <w:r w:rsidR="00A82CE5" w:rsidRPr="00100F71">
        <w:rPr>
          <w:lang w:val="es-ES_tradnl"/>
        </w:rPr>
        <w:t xml:space="preserve">productos químicos que perturban el sistema endocrino, preparada por la OCDE, el PNUMA y </w:t>
      </w:r>
      <w:r w:rsidR="006D4A3A">
        <w:rPr>
          <w:lang w:val="es-ES_tradnl"/>
        </w:rPr>
        <w:t>la </w:t>
      </w:r>
      <w:r w:rsidRPr="00100F71">
        <w:rPr>
          <w:lang w:val="es-ES_tradnl"/>
        </w:rPr>
        <w:t>OMS)</w:t>
      </w:r>
      <w:r w:rsidR="00A82CE5" w:rsidRPr="00100F71">
        <w:rPr>
          <w:lang w:val="es-ES_tradnl"/>
        </w:rPr>
        <w:t xml:space="preserve"> (véase SAICM/ICCM.4/INF/20)</w:t>
      </w:r>
      <w:r w:rsidRPr="00100F71">
        <w:rPr>
          <w:lang w:val="es-ES_tradnl"/>
        </w:rPr>
        <w:t>;</w:t>
      </w:r>
    </w:p>
    <w:p w:rsidR="005D3426" w:rsidRPr="00100F71" w:rsidRDefault="005D3426" w:rsidP="00100F71">
      <w:pPr>
        <w:pStyle w:val="Normalnumber"/>
        <w:numPr>
          <w:ilvl w:val="1"/>
          <w:numId w:val="19"/>
        </w:numPr>
        <w:tabs>
          <w:tab w:val="clear" w:pos="624"/>
          <w:tab w:val="clear" w:pos="1247"/>
        </w:tabs>
        <w:ind w:left="1247" w:firstLine="624"/>
        <w:rPr>
          <w:lang w:val="es-ES_tradnl"/>
        </w:rPr>
      </w:pPr>
      <w:r w:rsidRPr="00100F71">
        <w:rPr>
          <w:lang w:val="es-ES_tradnl"/>
        </w:rPr>
        <w:t xml:space="preserve">Status of </w:t>
      </w:r>
      <w:proofErr w:type="spellStart"/>
      <w:r w:rsidRPr="00100F71">
        <w:rPr>
          <w:lang w:val="es-ES_tradnl"/>
        </w:rPr>
        <w:t>the</w:t>
      </w:r>
      <w:proofErr w:type="spellEnd"/>
      <w:r w:rsidRPr="00100F71">
        <w:rPr>
          <w:lang w:val="es-ES_tradnl"/>
        </w:rPr>
        <w:t xml:space="preserve"> </w:t>
      </w:r>
      <w:proofErr w:type="spellStart"/>
      <w:r w:rsidRPr="00100F71">
        <w:rPr>
          <w:lang w:val="es-ES_tradnl"/>
        </w:rPr>
        <w:t>phasing</w:t>
      </w:r>
      <w:proofErr w:type="spellEnd"/>
      <w:r w:rsidRPr="00100F71">
        <w:rPr>
          <w:lang w:val="es-ES_tradnl"/>
        </w:rPr>
        <w:t xml:space="preserve"> </w:t>
      </w:r>
      <w:proofErr w:type="spellStart"/>
      <w:r w:rsidRPr="00100F71">
        <w:rPr>
          <w:lang w:val="es-ES_tradnl"/>
        </w:rPr>
        <w:t>out</w:t>
      </w:r>
      <w:proofErr w:type="spellEnd"/>
      <w:r w:rsidRPr="00100F71">
        <w:rPr>
          <w:lang w:val="es-ES_tradnl"/>
        </w:rPr>
        <w:t xml:space="preserve"> of lead </w:t>
      </w:r>
      <w:proofErr w:type="spellStart"/>
      <w:r w:rsidRPr="00100F71">
        <w:rPr>
          <w:lang w:val="es-ES_tradnl"/>
        </w:rPr>
        <w:t>paint</w:t>
      </w:r>
      <w:proofErr w:type="spellEnd"/>
      <w:r w:rsidRPr="00100F71">
        <w:rPr>
          <w:lang w:val="es-ES_tradnl"/>
        </w:rPr>
        <w:t xml:space="preserve"> </w:t>
      </w:r>
      <w:proofErr w:type="spellStart"/>
      <w:r w:rsidRPr="00100F71">
        <w:rPr>
          <w:lang w:val="es-ES_tradnl"/>
        </w:rPr>
        <w:t>by</w:t>
      </w:r>
      <w:proofErr w:type="spellEnd"/>
      <w:r w:rsidRPr="00100F71">
        <w:rPr>
          <w:lang w:val="es-ES_tradnl"/>
        </w:rPr>
        <w:t xml:space="preserve"> </w:t>
      </w:r>
      <w:proofErr w:type="spellStart"/>
      <w:r w:rsidRPr="00100F71">
        <w:rPr>
          <w:lang w:val="es-ES_tradnl"/>
        </w:rPr>
        <w:t>countries</w:t>
      </w:r>
      <w:proofErr w:type="spellEnd"/>
      <w:r w:rsidRPr="00100F71">
        <w:rPr>
          <w:lang w:val="es-ES_tradnl"/>
        </w:rPr>
        <w:t>: 2015</w:t>
      </w:r>
      <w:r w:rsidR="00100F71">
        <w:rPr>
          <w:lang w:val="es-ES_tradnl"/>
        </w:rPr>
        <w:t xml:space="preserve"> global </w:t>
      </w:r>
      <w:proofErr w:type="spellStart"/>
      <w:r w:rsidR="00100F71">
        <w:rPr>
          <w:lang w:val="es-ES_tradnl"/>
        </w:rPr>
        <w:t>report</w:t>
      </w:r>
      <w:proofErr w:type="spellEnd"/>
      <w:r w:rsidR="00100F71">
        <w:rPr>
          <w:lang w:val="es-ES_tradnl"/>
        </w:rPr>
        <w:t xml:space="preserve"> (Situación de la </w:t>
      </w:r>
      <w:r w:rsidRPr="00100F71">
        <w:rPr>
          <w:lang w:val="es-ES_tradnl"/>
        </w:rPr>
        <w:t>eliminación del plomo en la pintura por parte de los países: informe mundial de 2015) (v</w:t>
      </w:r>
      <w:r w:rsidR="00100F71">
        <w:rPr>
          <w:lang w:val="es-ES_tradnl"/>
        </w:rPr>
        <w:t>éase </w:t>
      </w:r>
      <w:r w:rsidRPr="00100F71">
        <w:rPr>
          <w:lang w:val="es-ES_tradnl"/>
        </w:rPr>
        <w:t>SAICM/ICCM.4/INF/25);</w:t>
      </w:r>
    </w:p>
    <w:p w:rsidR="005D3426" w:rsidRPr="00100F71" w:rsidRDefault="005D3426" w:rsidP="00100F71">
      <w:pPr>
        <w:pStyle w:val="Normalnumber"/>
        <w:numPr>
          <w:ilvl w:val="1"/>
          <w:numId w:val="19"/>
        </w:numPr>
        <w:tabs>
          <w:tab w:val="clear" w:pos="624"/>
          <w:tab w:val="clear" w:pos="1247"/>
        </w:tabs>
        <w:ind w:left="1247" w:firstLine="624"/>
        <w:rPr>
          <w:lang w:val="es-ES_tradnl"/>
        </w:rPr>
      </w:pPr>
      <w:proofErr w:type="spellStart"/>
      <w:r w:rsidRPr="00100F71">
        <w:rPr>
          <w:lang w:val="es-ES_tradnl"/>
        </w:rPr>
        <w:t>Compilation</w:t>
      </w:r>
      <w:proofErr w:type="spellEnd"/>
      <w:r w:rsidRPr="00100F71">
        <w:rPr>
          <w:lang w:val="es-ES_tradnl"/>
        </w:rPr>
        <w:t xml:space="preserve"> of </w:t>
      </w:r>
      <w:proofErr w:type="spellStart"/>
      <w:r w:rsidRPr="00100F71">
        <w:rPr>
          <w:lang w:val="es-ES_tradnl"/>
        </w:rPr>
        <w:t>international</w:t>
      </w:r>
      <w:proofErr w:type="spellEnd"/>
      <w:r w:rsidRPr="00100F71">
        <w:rPr>
          <w:lang w:val="es-ES_tradnl"/>
        </w:rPr>
        <w:t xml:space="preserve"> </w:t>
      </w:r>
      <w:proofErr w:type="spellStart"/>
      <w:r w:rsidRPr="00100F71">
        <w:rPr>
          <w:lang w:val="es-ES_tradnl"/>
        </w:rPr>
        <w:t>best</w:t>
      </w:r>
      <w:proofErr w:type="spellEnd"/>
      <w:r w:rsidRPr="00100F71">
        <w:rPr>
          <w:lang w:val="es-ES_tradnl"/>
        </w:rPr>
        <w:t xml:space="preserve"> </w:t>
      </w:r>
      <w:proofErr w:type="spellStart"/>
      <w:r w:rsidRPr="00100F71">
        <w:rPr>
          <w:lang w:val="es-ES_tradnl"/>
        </w:rPr>
        <w:t>practice</w:t>
      </w:r>
      <w:proofErr w:type="spellEnd"/>
      <w:r w:rsidRPr="00100F71">
        <w:rPr>
          <w:lang w:val="es-ES_tradnl"/>
        </w:rPr>
        <w:t xml:space="preserve"> </w:t>
      </w:r>
      <w:proofErr w:type="spellStart"/>
      <w:r w:rsidRPr="00100F71">
        <w:rPr>
          <w:lang w:val="es-ES_tradnl"/>
        </w:rPr>
        <w:t>resources</w:t>
      </w:r>
      <w:proofErr w:type="spellEnd"/>
      <w:r w:rsidRPr="00100F71">
        <w:rPr>
          <w:lang w:val="es-ES_tradnl"/>
        </w:rPr>
        <w:t xml:space="preserve"> </w:t>
      </w:r>
      <w:proofErr w:type="spellStart"/>
      <w:r w:rsidRPr="00100F71">
        <w:rPr>
          <w:lang w:val="es-ES_tradnl"/>
        </w:rPr>
        <w:t>on</w:t>
      </w:r>
      <w:proofErr w:type="spellEnd"/>
      <w:r w:rsidRPr="00100F71">
        <w:rPr>
          <w:lang w:val="es-ES_tradnl"/>
        </w:rPr>
        <w:t xml:space="preserve"> </w:t>
      </w:r>
      <w:proofErr w:type="spellStart"/>
      <w:r w:rsidRPr="00100F71">
        <w:rPr>
          <w:lang w:val="es-ES_tradnl"/>
        </w:rPr>
        <w:t>hazardous</w:t>
      </w:r>
      <w:proofErr w:type="spellEnd"/>
      <w:r w:rsidRPr="00100F71">
        <w:rPr>
          <w:lang w:val="es-ES_tradnl"/>
        </w:rPr>
        <w:t xml:space="preserve"> </w:t>
      </w:r>
      <w:proofErr w:type="spellStart"/>
      <w:r w:rsidRPr="00100F71">
        <w:rPr>
          <w:lang w:val="es-ES_tradnl"/>
        </w:rPr>
        <w:t>substances</w:t>
      </w:r>
      <w:proofErr w:type="spellEnd"/>
      <w:r w:rsidRPr="00100F71">
        <w:rPr>
          <w:lang w:val="es-ES_tradnl"/>
        </w:rPr>
        <w:t xml:space="preserve"> </w:t>
      </w:r>
      <w:proofErr w:type="spellStart"/>
      <w:r w:rsidRPr="00100F71">
        <w:rPr>
          <w:lang w:val="es-ES_tradnl"/>
        </w:rPr>
        <w:t>within</w:t>
      </w:r>
      <w:proofErr w:type="spellEnd"/>
      <w:r w:rsidRPr="00100F71">
        <w:rPr>
          <w:lang w:val="es-ES_tradnl"/>
        </w:rPr>
        <w:t xml:space="preserve"> </w:t>
      </w:r>
      <w:proofErr w:type="spellStart"/>
      <w:r w:rsidRPr="00100F71">
        <w:rPr>
          <w:lang w:val="es-ES_tradnl"/>
        </w:rPr>
        <w:t>the</w:t>
      </w:r>
      <w:proofErr w:type="spellEnd"/>
      <w:r w:rsidRPr="00100F71">
        <w:rPr>
          <w:lang w:val="es-ES_tradnl"/>
        </w:rPr>
        <w:t xml:space="preserve"> </w:t>
      </w:r>
      <w:proofErr w:type="spellStart"/>
      <w:r w:rsidRPr="00100F71">
        <w:rPr>
          <w:lang w:val="es-ES_tradnl"/>
        </w:rPr>
        <w:t>lifecycle</w:t>
      </w:r>
      <w:proofErr w:type="spellEnd"/>
      <w:r w:rsidRPr="00100F71">
        <w:rPr>
          <w:lang w:val="es-ES_tradnl"/>
        </w:rPr>
        <w:t xml:space="preserve"> of </w:t>
      </w:r>
      <w:proofErr w:type="spellStart"/>
      <w:r w:rsidRPr="00100F71">
        <w:rPr>
          <w:lang w:val="es-ES_tradnl"/>
        </w:rPr>
        <w:t>electrical</w:t>
      </w:r>
      <w:proofErr w:type="spellEnd"/>
      <w:r w:rsidRPr="00100F71">
        <w:rPr>
          <w:lang w:val="es-ES_tradnl"/>
        </w:rPr>
        <w:t xml:space="preserve"> and </w:t>
      </w:r>
      <w:proofErr w:type="spellStart"/>
      <w:r w:rsidRPr="00100F71">
        <w:rPr>
          <w:lang w:val="es-ES_tradnl"/>
        </w:rPr>
        <w:t>electronic</w:t>
      </w:r>
      <w:proofErr w:type="spellEnd"/>
      <w:r w:rsidRPr="00100F71">
        <w:rPr>
          <w:lang w:val="es-ES_tradnl"/>
        </w:rPr>
        <w:t xml:space="preserve"> </w:t>
      </w:r>
      <w:proofErr w:type="spellStart"/>
      <w:r w:rsidRPr="00100F71">
        <w:rPr>
          <w:lang w:val="es-ES_tradnl"/>
        </w:rPr>
        <w:t>products</w:t>
      </w:r>
      <w:proofErr w:type="spellEnd"/>
      <w:r w:rsidRPr="00100F71">
        <w:rPr>
          <w:lang w:val="es-ES_tradnl"/>
        </w:rPr>
        <w:t xml:space="preserve"> (Compilación de los mejores recursos de prácticas internacionales en el ámbito de las sustancias peligrosas en el ciclo de vida de los productos eléctricos y electrónicos) (véase SAICM/ICCM.4/INF/27).</w:t>
      </w:r>
    </w:p>
    <w:p w:rsidR="00A82CE5" w:rsidRPr="00100F71" w:rsidRDefault="00A82CE5" w:rsidP="00A82CE5">
      <w:pPr>
        <w:pStyle w:val="Normalnumber"/>
        <w:rPr>
          <w:lang w:val="es-ES_tradnl"/>
        </w:rPr>
      </w:pPr>
      <w:r w:rsidRPr="00100F71">
        <w:rPr>
          <w:lang w:val="es-ES_tradnl"/>
        </w:rPr>
        <w:t>La Conferencia tal vez desee agradecer los progresos realizados en cada una de las nuevas cuestiones normativas, sopesar los planes de trabajo propuestos para la cooperación ininterrumpida y proponer medidas de seguimiento específicas en la resolución que se elaborará como parte de la labor prevista en el tema 5 a) del programa, relativo a la orientación y las directrices generales.</w:t>
      </w:r>
    </w:p>
    <w:p w:rsidR="00A82CE5" w:rsidRPr="00100F71" w:rsidRDefault="00A82CE5" w:rsidP="00A82CE5">
      <w:pPr>
        <w:pStyle w:val="Normalnumber"/>
        <w:tabs>
          <w:tab w:val="clear" w:pos="567"/>
          <w:tab w:val="clear" w:pos="1247"/>
        </w:tabs>
        <w:rPr>
          <w:lang w:val="es-ES_tradnl"/>
        </w:rPr>
      </w:pPr>
      <w:r w:rsidRPr="00100F71">
        <w:rPr>
          <w:lang w:val="es-ES_tradnl"/>
        </w:rPr>
        <w:t xml:space="preserve">En relación con las sustancias químicas en los productos y con la nanotecnología y los </w:t>
      </w:r>
      <w:proofErr w:type="spellStart"/>
      <w:r w:rsidRPr="00100F71">
        <w:rPr>
          <w:lang w:val="es-ES_tradnl"/>
        </w:rPr>
        <w:t>nanomateriales</w:t>
      </w:r>
      <w:proofErr w:type="spellEnd"/>
      <w:r w:rsidRPr="00100F71">
        <w:rPr>
          <w:lang w:val="es-ES_tradnl"/>
        </w:rPr>
        <w:t xml:space="preserve"> manufacturados, la Conferencia tal vez desee aprobar resoluciones al respecto para promover nuevas actividades en esas esferas.</w:t>
      </w:r>
    </w:p>
    <w:p w:rsidR="00A82CE5" w:rsidRPr="00100F71" w:rsidRDefault="00A82CE5" w:rsidP="00A82CE5">
      <w:pPr>
        <w:pStyle w:val="CH4"/>
        <w:rPr>
          <w:b w:val="0"/>
          <w:bCs/>
          <w:lang w:val="es-ES_tradnl"/>
        </w:rPr>
      </w:pPr>
      <w:r w:rsidRPr="00100F71">
        <w:rPr>
          <w:b w:val="0"/>
          <w:bCs/>
          <w:lang w:val="es-ES_tradnl"/>
        </w:rPr>
        <w:tab/>
      </w:r>
      <w:r w:rsidR="00C13BE6" w:rsidRPr="00100F71">
        <w:rPr>
          <w:lang w:val="es-ES_tradnl"/>
        </w:rPr>
        <w:t>iv)</w:t>
      </w:r>
      <w:r w:rsidRPr="00100F71">
        <w:rPr>
          <w:lang w:val="es-ES_tradnl"/>
        </w:rPr>
        <w:tab/>
        <w:t xml:space="preserve">Otras cuestiones de interés: productos químicos </w:t>
      </w:r>
      <w:proofErr w:type="spellStart"/>
      <w:r w:rsidRPr="00100F71">
        <w:rPr>
          <w:lang w:val="es-ES_tradnl"/>
        </w:rPr>
        <w:t>perfluorados</w:t>
      </w:r>
      <w:proofErr w:type="spellEnd"/>
    </w:p>
    <w:p w:rsidR="00A82CE5" w:rsidRPr="00100F71" w:rsidRDefault="00A82CE5" w:rsidP="00A82CE5">
      <w:pPr>
        <w:pStyle w:val="Normalnumber"/>
        <w:rPr>
          <w:lang w:val="es-ES_tradnl"/>
        </w:rPr>
      </w:pPr>
      <w:r w:rsidRPr="00100F71">
        <w:rPr>
          <w:lang w:val="es-ES_tradnl"/>
        </w:rPr>
        <w:t xml:space="preserve">En sus resoluciones II/5 y III/3, la Conferencia acordó adoptar medidas de cooperación relativas a la gestión de los productos químicos </w:t>
      </w:r>
      <w:proofErr w:type="spellStart"/>
      <w:r w:rsidRPr="00100F71">
        <w:rPr>
          <w:lang w:val="es-ES_tradnl"/>
        </w:rPr>
        <w:t>perfluorados</w:t>
      </w:r>
      <w:proofErr w:type="spellEnd"/>
      <w:r w:rsidRPr="00100F71">
        <w:rPr>
          <w:lang w:val="es-ES_tradnl"/>
        </w:rPr>
        <w:t xml:space="preserve"> y la transición a alternativas más seguras.</w:t>
      </w:r>
    </w:p>
    <w:p w:rsidR="00A82CE5" w:rsidRPr="00100F71" w:rsidRDefault="00A82CE5" w:rsidP="00A82CE5">
      <w:pPr>
        <w:pStyle w:val="Normalnumber"/>
        <w:rPr>
          <w:lang w:val="es-ES_tradnl"/>
        </w:rPr>
      </w:pPr>
      <w:r w:rsidRPr="00100F71">
        <w:rPr>
          <w:lang w:val="es-ES_tradnl"/>
        </w:rPr>
        <w:t xml:space="preserve">La Conferencia tendrá ante sí una nota de la Secretaría sobre los progresos logrados en relación con las nuevas cuestiones normativas y otras cuestiones de interés (SAICM/ICCM.4/9) e información actualizada sobre la gestión de los productos químicos </w:t>
      </w:r>
      <w:proofErr w:type="spellStart"/>
      <w:r w:rsidRPr="00100F71">
        <w:rPr>
          <w:lang w:val="es-ES_tradnl"/>
        </w:rPr>
        <w:t>perfluorados</w:t>
      </w:r>
      <w:proofErr w:type="spellEnd"/>
      <w:r w:rsidRPr="00100F71">
        <w:rPr>
          <w:lang w:val="es-ES_tradnl"/>
        </w:rPr>
        <w:t xml:space="preserve"> y la transición a alternativas más seguras, preparada por la OCDE y el PNUMA (véase el SAICM/ICCM.4/INF/21).</w:t>
      </w:r>
    </w:p>
    <w:p w:rsidR="00A82CE5" w:rsidRPr="00100F71" w:rsidRDefault="00A82CE5" w:rsidP="00810140">
      <w:pPr>
        <w:pStyle w:val="Normalnumber"/>
        <w:rPr>
          <w:lang w:val="es-ES_tradnl"/>
        </w:rPr>
      </w:pPr>
      <w:r w:rsidRPr="00100F71">
        <w:rPr>
          <w:lang w:val="es-ES_tradnl"/>
        </w:rPr>
        <w:t>La Conferencia tal vez</w:t>
      </w:r>
      <w:bookmarkStart w:id="1" w:name="_GoBack"/>
      <w:bookmarkEnd w:id="1"/>
      <w:r w:rsidRPr="00100F71">
        <w:rPr>
          <w:lang w:val="es-ES_tradnl"/>
        </w:rPr>
        <w:t xml:space="preserve"> desee agradecer los progresos realizados en la gestión de los productos químicos </w:t>
      </w:r>
      <w:proofErr w:type="spellStart"/>
      <w:r w:rsidRPr="00100F71">
        <w:rPr>
          <w:lang w:val="es-ES_tradnl"/>
        </w:rPr>
        <w:t>perfluorados</w:t>
      </w:r>
      <w:proofErr w:type="spellEnd"/>
      <w:r w:rsidRPr="00100F71">
        <w:rPr>
          <w:lang w:val="es-ES_tradnl"/>
        </w:rPr>
        <w:t xml:space="preserve"> y la transición a alternativas más seguras, examinar el plan de trabajo propuesto para la cooperación ininterrumpida y aprobar una resolución, según proceda, en la que se propongan medidas de seguimiento específicas relacionadas con el documento de orientación y directrices generales.</w:t>
      </w:r>
    </w:p>
    <w:p w:rsidR="00A82CE5" w:rsidRPr="00100F71" w:rsidRDefault="00A82CE5" w:rsidP="00A82CE5">
      <w:pPr>
        <w:pStyle w:val="CH2"/>
        <w:tabs>
          <w:tab w:val="clear" w:pos="851"/>
          <w:tab w:val="clear" w:pos="1247"/>
          <w:tab w:val="clear" w:pos="1814"/>
          <w:tab w:val="clear" w:pos="2381"/>
          <w:tab w:val="clear" w:pos="2948"/>
          <w:tab w:val="clear" w:pos="3515"/>
          <w:tab w:val="left" w:pos="624"/>
        </w:tabs>
        <w:spacing w:after="80"/>
        <w:ind w:left="1248" w:hanging="624"/>
        <w:outlineLvl w:val="0"/>
        <w:rPr>
          <w:lang w:val="es-ES_tradnl"/>
        </w:rPr>
      </w:pPr>
      <w:r w:rsidRPr="00100F71">
        <w:rPr>
          <w:lang w:val="es-ES_tradnl"/>
        </w:rPr>
        <w:t>Tema 6</w:t>
      </w:r>
    </w:p>
    <w:p w:rsidR="00A82CE5" w:rsidRPr="00100F71" w:rsidRDefault="00A82CE5" w:rsidP="00A82CE5">
      <w:pPr>
        <w:pStyle w:val="CH2"/>
        <w:tabs>
          <w:tab w:val="clear" w:pos="851"/>
          <w:tab w:val="clear" w:pos="1247"/>
          <w:tab w:val="clear" w:pos="1814"/>
          <w:tab w:val="clear" w:pos="2381"/>
          <w:tab w:val="clear" w:pos="2948"/>
          <w:tab w:val="clear" w:pos="3515"/>
          <w:tab w:val="left" w:pos="624"/>
        </w:tabs>
        <w:spacing w:after="80"/>
        <w:ind w:left="1248" w:hanging="624"/>
        <w:outlineLvl w:val="0"/>
        <w:rPr>
          <w:lang w:val="es-ES_tradnl"/>
        </w:rPr>
      </w:pPr>
      <w:r w:rsidRPr="00100F71">
        <w:rPr>
          <w:lang w:val="es-ES_tradnl"/>
        </w:rPr>
        <w:t>Gestión racional de los productos químicos y los desechos después de 2020.</w:t>
      </w:r>
    </w:p>
    <w:p w:rsidR="00A82CE5" w:rsidRPr="00100F71" w:rsidRDefault="00A82CE5" w:rsidP="00A82CE5">
      <w:pPr>
        <w:pStyle w:val="Normalnumber"/>
        <w:ind w:left="1276"/>
        <w:rPr>
          <w:lang w:val="es-ES_tradnl"/>
        </w:rPr>
      </w:pPr>
      <w:r w:rsidRPr="00100F71">
        <w:rPr>
          <w:lang w:val="es-ES_tradnl"/>
        </w:rPr>
        <w:t>Son muchos, entre ellos la Asamblea de las Naciones Unidas sobre el Medio Ambiente en su resolución 1/5, relativa a los productos químicos y los desechos, los que consideran que la gestión de esos productos y desechos seguirá siendo importante después de 2020.</w:t>
      </w:r>
    </w:p>
    <w:p w:rsidR="00A82CE5" w:rsidRPr="00100F71" w:rsidRDefault="00A82CE5" w:rsidP="00A82CE5">
      <w:pPr>
        <w:pStyle w:val="Normalnumber"/>
        <w:ind w:left="1276"/>
        <w:rPr>
          <w:lang w:val="es-ES_tradnl"/>
        </w:rPr>
      </w:pPr>
      <w:r w:rsidRPr="00100F71">
        <w:rPr>
          <w:lang w:val="es-ES_tradnl"/>
        </w:rPr>
        <w:t>En su segunda reunión, el Grupo de Trabajo de composición abierta puso de relieve que la gestión de los productos químicos y sus desechos era un elemento intersectorial indispensable y esencial del desarrollo sostenible y revestía gran importancia para el programa de dicho desarrollo. El Grupo de Trabajo también destacó la contribución que había hecho y seguía haciendo el Enfoque Estratégico a la gestión racional de los productos químicos y los desechos, incluida su contribución a la aplicación de la agenda para el desarrollo sostenible, y manifestó su disposición y voluntad de poner su plataforma multisectorial y de múltiples interesados al servicio de ese fin, según correspondiese.</w:t>
      </w:r>
    </w:p>
    <w:p w:rsidR="00A82CE5" w:rsidRPr="00100F71" w:rsidRDefault="00A82CE5" w:rsidP="00A82CE5">
      <w:pPr>
        <w:pStyle w:val="Normalnumber"/>
        <w:ind w:left="1276"/>
        <w:rPr>
          <w:lang w:val="es-ES_tradnl"/>
        </w:rPr>
      </w:pPr>
      <w:r w:rsidRPr="00100F71">
        <w:rPr>
          <w:lang w:val="es-ES_tradnl"/>
        </w:rPr>
        <w:t>La Conferencia tendrá ante sí una nota de la Secretaría sobre la gestión racional de los productos químicos y los desechos después de 2020 (SAICM/ICCM.4/13)</w:t>
      </w:r>
      <w:r w:rsidR="005D3426" w:rsidRPr="00100F71">
        <w:rPr>
          <w:lang w:val="es-ES_tradnl"/>
        </w:rPr>
        <w:t>. La Conferencia tendrá también ante sí un documento de información (SAICM/ICCM.4/INF/22) en cuyo anexo se reproduce la resolución 1/5</w:t>
      </w:r>
      <w:r w:rsidR="00A50CFF">
        <w:rPr>
          <w:lang w:val="es-ES_tradnl"/>
        </w:rPr>
        <w:t xml:space="preserve"> de la Asamblea de las Naciones </w:t>
      </w:r>
      <w:r w:rsidR="005D3426" w:rsidRPr="00100F71">
        <w:rPr>
          <w:lang w:val="es-ES_tradnl"/>
        </w:rPr>
        <w:t>Unidas sobre el Medio Ambiente, sobre los productos químicos y los desechos</w:t>
      </w:r>
      <w:r w:rsidRPr="00100F71">
        <w:rPr>
          <w:lang w:val="es-ES_tradnl"/>
        </w:rPr>
        <w:t xml:space="preserve">, </w:t>
      </w:r>
      <w:r w:rsidR="005D3426" w:rsidRPr="00100F71">
        <w:rPr>
          <w:lang w:val="es-ES_tradnl"/>
        </w:rPr>
        <w:t>así como el</w:t>
      </w:r>
      <w:r w:rsidRPr="00100F71">
        <w:rPr>
          <w:lang w:val="es-ES_tradnl"/>
        </w:rPr>
        <w:t xml:space="preserve"> documento final del proceso consultivo impulsado por los países sobre el fomento de la cooperación y la coordinación en el ámbito de los productos químicos y los desechos, titulado “Fortalecimiento de la gestión racional de los productos químicos y los desechos a largo plazo”</w:t>
      </w:r>
      <w:r w:rsidR="005D3426" w:rsidRPr="00100F71">
        <w:rPr>
          <w:lang w:val="es-ES_tradnl"/>
        </w:rPr>
        <w:t>, que fue acogido con beneplácito por la Asamblea sobre el Medio Ambiente en el párrafo 2 de la resolución 1/5</w:t>
      </w:r>
      <w:r w:rsidRPr="00100F71">
        <w:rPr>
          <w:lang w:val="es-ES_tradnl"/>
        </w:rPr>
        <w:t>.</w:t>
      </w:r>
    </w:p>
    <w:p w:rsidR="00A82CE5" w:rsidRPr="00100F71" w:rsidRDefault="00A82CE5" w:rsidP="00A82CE5">
      <w:pPr>
        <w:pStyle w:val="Normalnumber"/>
        <w:ind w:left="1248"/>
        <w:rPr>
          <w:lang w:val="es-ES_tradnl"/>
        </w:rPr>
      </w:pPr>
      <w:r w:rsidRPr="00100F71">
        <w:rPr>
          <w:lang w:val="es-ES_tradnl"/>
        </w:rPr>
        <w:t>La Conferencia tal vez desee examinar la cuestión de la gestión racional de los productos químicos y los desechos después de 2020 y aprobar una resolución, según proceda, en la que se propongan un proceso entre períodos de sesiones para afrontar la cuestión y las medidas de seguimiento correspondientes, para su examen por la Conferencia Internacional sobre gestión de los productos químicos en su quinto período de sesiones.</w:t>
      </w:r>
    </w:p>
    <w:p w:rsidR="00A82CE5" w:rsidRPr="00100F71" w:rsidRDefault="00A82CE5" w:rsidP="00A82CE5">
      <w:pPr>
        <w:pStyle w:val="CH2"/>
        <w:tabs>
          <w:tab w:val="clear" w:pos="851"/>
          <w:tab w:val="clear" w:pos="1247"/>
          <w:tab w:val="clear" w:pos="1814"/>
          <w:tab w:val="clear" w:pos="2381"/>
          <w:tab w:val="clear" w:pos="2948"/>
          <w:tab w:val="clear" w:pos="3515"/>
          <w:tab w:val="left" w:pos="624"/>
        </w:tabs>
        <w:spacing w:after="80"/>
        <w:ind w:left="1248" w:hanging="624"/>
        <w:outlineLvl w:val="0"/>
        <w:rPr>
          <w:lang w:val="es-ES_tradnl"/>
        </w:rPr>
      </w:pPr>
      <w:r w:rsidRPr="00100F71">
        <w:rPr>
          <w:lang w:val="es-ES_tradnl"/>
        </w:rPr>
        <w:t>Tema 7</w:t>
      </w:r>
    </w:p>
    <w:p w:rsidR="00A82CE5" w:rsidRPr="00100F71" w:rsidRDefault="00A82CE5" w:rsidP="00A82CE5">
      <w:pPr>
        <w:pStyle w:val="CH2"/>
        <w:tabs>
          <w:tab w:val="clear" w:pos="851"/>
          <w:tab w:val="clear" w:pos="1247"/>
          <w:tab w:val="clear" w:pos="1814"/>
          <w:tab w:val="clear" w:pos="2381"/>
          <w:tab w:val="clear" w:pos="2948"/>
          <w:tab w:val="clear" w:pos="3515"/>
          <w:tab w:val="left" w:pos="624"/>
        </w:tabs>
        <w:spacing w:after="80"/>
        <w:ind w:left="1248" w:hanging="624"/>
        <w:outlineLvl w:val="0"/>
        <w:rPr>
          <w:lang w:val="es-ES_tradnl"/>
        </w:rPr>
      </w:pPr>
      <w:r w:rsidRPr="00100F71">
        <w:rPr>
          <w:lang w:val="es-ES_tradnl"/>
        </w:rPr>
        <w:t>Actividades de la Secretaría y presupuesto</w:t>
      </w:r>
    </w:p>
    <w:p w:rsidR="00A82CE5" w:rsidRPr="00100F71" w:rsidRDefault="00C13BE6" w:rsidP="00A82CE5">
      <w:pPr>
        <w:pStyle w:val="CH3"/>
        <w:rPr>
          <w:lang w:val="es-ES_tradnl"/>
        </w:rPr>
      </w:pPr>
      <w:r w:rsidRPr="00100F71">
        <w:rPr>
          <w:lang w:val="es-ES_tradnl"/>
        </w:rPr>
        <w:tab/>
        <w:t>a)</w:t>
      </w:r>
      <w:r w:rsidR="00A82CE5" w:rsidRPr="00100F71">
        <w:rPr>
          <w:lang w:val="es-ES_tradnl"/>
        </w:rPr>
        <w:tab/>
        <w:t>Proyecto de presupuesto de la Secretaría</w:t>
      </w:r>
    </w:p>
    <w:p w:rsidR="00A82CE5" w:rsidRPr="00100F71" w:rsidRDefault="00A82CE5" w:rsidP="00A82CE5">
      <w:pPr>
        <w:pStyle w:val="Normalnumber"/>
        <w:tabs>
          <w:tab w:val="clear" w:pos="1247"/>
        </w:tabs>
        <w:rPr>
          <w:lang w:val="es-ES_tradnl"/>
        </w:rPr>
      </w:pPr>
      <w:r w:rsidRPr="00100F71">
        <w:rPr>
          <w:lang w:val="es-ES_tradnl"/>
        </w:rPr>
        <w:t>En su resolución III/5, la Conferencia solicitó a la Secretaría que preparase un presupuesto para el período 2016</w:t>
      </w:r>
      <w:r w:rsidRPr="00100F71">
        <w:rPr>
          <w:lang w:val="es-ES_tradnl"/>
        </w:rPr>
        <w:noBreakHyphen/>
        <w:t>2018 a fin de examinarlo en su cuarto período de sesiones.</w:t>
      </w:r>
    </w:p>
    <w:p w:rsidR="00A82CE5" w:rsidRPr="00100F71" w:rsidRDefault="00A82CE5" w:rsidP="00A82CE5">
      <w:pPr>
        <w:pStyle w:val="Normalnumber"/>
        <w:rPr>
          <w:lang w:val="es-ES_tradnl"/>
        </w:rPr>
      </w:pPr>
      <w:r w:rsidRPr="00100F71">
        <w:rPr>
          <w:lang w:val="es-ES_tradnl"/>
        </w:rPr>
        <w:t>La Conferencia tendrá ante sí un informe de la Secretaría sobre sus actividades para el período comprendido entre enero de 2012 y junio de 2015 y un proyecto de presupuesto indicativo para el período 2016</w:t>
      </w:r>
      <w:r w:rsidRPr="00100F71">
        <w:rPr>
          <w:lang w:val="es-ES_tradnl"/>
        </w:rPr>
        <w:noBreakHyphen/>
        <w:t>2018 (SAICM/ICCM.4/14). Dado que el cuarto período de sesiones de la Conferencia es, a día de hoy, la última reunión prevista en que se adoptarán decisiones antes de 2020, la Secretaría, a petición de la mesa, también ha incluido un proyecto de presupuesto indicativo para el bienio 2019</w:t>
      </w:r>
      <w:r w:rsidRPr="00100F71">
        <w:rPr>
          <w:lang w:val="es-ES_tradnl"/>
        </w:rPr>
        <w:noBreakHyphen/>
        <w:t>2020. En el proyecto de presupuesto figura el examen de las necesidades señaladas en la orientación y las directrices generales para la consecución de la meta de 2020.</w:t>
      </w:r>
    </w:p>
    <w:p w:rsidR="00A82CE5" w:rsidRPr="00100F71" w:rsidDel="00375AE7" w:rsidRDefault="00A82CE5" w:rsidP="00A82CE5">
      <w:pPr>
        <w:pStyle w:val="Normalnumber"/>
        <w:rPr>
          <w:lang w:val="es-ES_tradnl"/>
        </w:rPr>
      </w:pPr>
      <w:r w:rsidRPr="00100F71">
        <w:rPr>
          <w:lang w:val="es-ES_tradnl"/>
        </w:rPr>
        <w:t>La Conferencia tal vez desee examinar la información proporcionada en el informe y aprobar una resolución, según proceda, por la que se apruebe el programa de trabajo y el presupuesto indicativo propuestos.</w:t>
      </w:r>
    </w:p>
    <w:p w:rsidR="00A82CE5" w:rsidRPr="00100F71" w:rsidRDefault="00C13BE6" w:rsidP="00A82CE5">
      <w:pPr>
        <w:pStyle w:val="CH3"/>
        <w:rPr>
          <w:lang w:val="es-ES_tradnl"/>
        </w:rPr>
      </w:pPr>
      <w:r w:rsidRPr="00100F71">
        <w:rPr>
          <w:lang w:val="es-ES_tradnl"/>
        </w:rPr>
        <w:tab/>
        <w:t>b)</w:t>
      </w:r>
      <w:r w:rsidR="00A82CE5" w:rsidRPr="00100F71">
        <w:rPr>
          <w:lang w:val="es-ES_tradnl"/>
        </w:rPr>
        <w:tab/>
        <w:t xml:space="preserve">Fondo Fiduciario del Programa de </w:t>
      </w:r>
      <w:r w:rsidR="00BE2E79" w:rsidRPr="00100F71">
        <w:rPr>
          <w:lang w:val="es-ES_tradnl"/>
        </w:rPr>
        <w:t>I</w:t>
      </w:r>
      <w:r w:rsidR="00A82CE5" w:rsidRPr="00100F71">
        <w:rPr>
          <w:lang w:val="es-ES_tradnl"/>
        </w:rPr>
        <w:t xml:space="preserve">nicio </w:t>
      </w:r>
      <w:r w:rsidR="00BE2E79" w:rsidRPr="00100F71">
        <w:rPr>
          <w:lang w:val="es-ES_tradnl"/>
        </w:rPr>
        <w:t>R</w:t>
      </w:r>
      <w:r w:rsidR="00A82CE5" w:rsidRPr="00100F71">
        <w:rPr>
          <w:lang w:val="es-ES_tradnl"/>
        </w:rPr>
        <w:t>ápido</w:t>
      </w:r>
    </w:p>
    <w:p w:rsidR="00A82CE5" w:rsidRPr="00100F71" w:rsidRDefault="00A82CE5" w:rsidP="00A82CE5">
      <w:pPr>
        <w:pStyle w:val="Normalnumber"/>
        <w:rPr>
          <w:lang w:val="es-ES_tradnl"/>
        </w:rPr>
      </w:pPr>
      <w:r w:rsidRPr="00100F71">
        <w:rPr>
          <w:lang w:val="es-ES_tradnl"/>
        </w:rPr>
        <w:t xml:space="preserve">En su resolución III/1, la Conferencia reconoció los éxitos conseguidos hasta la fecha por el Programa de </w:t>
      </w:r>
      <w:r w:rsidR="00657C2F" w:rsidRPr="00100F71">
        <w:rPr>
          <w:lang w:val="es-ES_tradnl"/>
        </w:rPr>
        <w:t>I</w:t>
      </w:r>
      <w:r w:rsidRPr="00100F71">
        <w:rPr>
          <w:lang w:val="es-ES_tradnl"/>
        </w:rPr>
        <w:t xml:space="preserve">nicio </w:t>
      </w:r>
      <w:r w:rsidR="00657C2F" w:rsidRPr="00100F71">
        <w:rPr>
          <w:lang w:val="es-ES_tradnl"/>
        </w:rPr>
        <w:t>R</w:t>
      </w:r>
      <w:r w:rsidRPr="00100F71">
        <w:rPr>
          <w:lang w:val="es-ES_tradnl"/>
        </w:rPr>
        <w:t xml:space="preserve">ápido, incluido su Fondo Fiduciario, en la prestación de apoyo a los países en desarrollo y los países con economías en transición para facilitar el logro de la meta de 2020 de la Cumbre Mundial sobre el Desarrollo Sostenible. La Conferencia decidió prorrogar el plazo para la recepción de contribuciones al Fondo Fiduciario del Programa de </w:t>
      </w:r>
      <w:r w:rsidR="00657C2F" w:rsidRPr="00100F71">
        <w:rPr>
          <w:lang w:val="es-ES_tradnl"/>
        </w:rPr>
        <w:t>I</w:t>
      </w:r>
      <w:r w:rsidRPr="00100F71">
        <w:rPr>
          <w:lang w:val="es-ES_tradnl"/>
        </w:rPr>
        <w:t xml:space="preserve">nicio </w:t>
      </w:r>
      <w:r w:rsidR="00657C2F" w:rsidRPr="00100F71">
        <w:rPr>
          <w:lang w:val="es-ES_tradnl"/>
        </w:rPr>
        <w:t>R</w:t>
      </w:r>
      <w:r w:rsidRPr="00100F71">
        <w:rPr>
          <w:lang w:val="es-ES_tradnl"/>
        </w:rPr>
        <w:t xml:space="preserve">ápido hasta su cuarto período de sesiones. Asimismo, se decidió que los fondos asignados a proyectos antes de la clausura del Fondo Fiduciario del Programa de </w:t>
      </w:r>
      <w:r w:rsidR="00657C2F" w:rsidRPr="00100F71">
        <w:rPr>
          <w:lang w:val="es-ES_tradnl"/>
        </w:rPr>
        <w:t>I</w:t>
      </w:r>
      <w:r w:rsidRPr="00100F71">
        <w:rPr>
          <w:lang w:val="es-ES_tradnl"/>
        </w:rPr>
        <w:t xml:space="preserve">nicio </w:t>
      </w:r>
      <w:r w:rsidR="00657C2F" w:rsidRPr="00100F71">
        <w:rPr>
          <w:lang w:val="es-ES_tradnl"/>
        </w:rPr>
        <w:t>R</w:t>
      </w:r>
      <w:r w:rsidRPr="00100F71">
        <w:rPr>
          <w:lang w:val="es-ES_tradnl"/>
        </w:rPr>
        <w:t>ápido podrían desembolsarse hasta que todos los proyectos aprobados de la cartera del Programa estuviesen terminados.</w:t>
      </w:r>
    </w:p>
    <w:p w:rsidR="00A82CE5" w:rsidRPr="00100F71" w:rsidRDefault="00A82CE5" w:rsidP="00A82CE5">
      <w:pPr>
        <w:pStyle w:val="Normalnumber"/>
        <w:rPr>
          <w:lang w:val="es-ES_tradnl"/>
        </w:rPr>
      </w:pPr>
      <w:r w:rsidRPr="00100F71">
        <w:rPr>
          <w:lang w:val="es-ES_tradnl"/>
        </w:rPr>
        <w:t xml:space="preserve">La Conferencia tendrá ante sí el resumen elaborado por la Secretaría sobre el Programa de </w:t>
      </w:r>
      <w:r w:rsidR="00657C2F" w:rsidRPr="00100F71">
        <w:rPr>
          <w:lang w:val="es-ES_tradnl"/>
        </w:rPr>
        <w:t>I</w:t>
      </w:r>
      <w:r w:rsidRPr="00100F71">
        <w:rPr>
          <w:lang w:val="es-ES_tradnl"/>
        </w:rPr>
        <w:t xml:space="preserve">nicio </w:t>
      </w:r>
      <w:r w:rsidR="00657C2F" w:rsidRPr="00100F71">
        <w:rPr>
          <w:lang w:val="es-ES_tradnl"/>
        </w:rPr>
        <w:t>R</w:t>
      </w:r>
      <w:r w:rsidRPr="00100F71">
        <w:rPr>
          <w:lang w:val="es-ES_tradnl"/>
        </w:rPr>
        <w:t>ápido (véase SAICM/ICCM.4/4), en el que se facilita información sobre el Fondo Fiduciario.</w:t>
      </w:r>
    </w:p>
    <w:p w:rsidR="00A82CE5" w:rsidRPr="00100F71" w:rsidRDefault="00A82CE5" w:rsidP="00A82CE5">
      <w:pPr>
        <w:pStyle w:val="Normalnumber"/>
        <w:rPr>
          <w:lang w:val="es-ES_tradnl"/>
        </w:rPr>
      </w:pPr>
      <w:r w:rsidRPr="00100F71">
        <w:rPr>
          <w:lang w:val="es-ES_tradnl"/>
        </w:rPr>
        <w:t xml:space="preserve">La Conferencia tal vez desee sopesar las recomendaciones para el cierre total y definitivo del Fondo Fiduciario del Programa de </w:t>
      </w:r>
      <w:r w:rsidR="00657C2F" w:rsidRPr="00100F71">
        <w:rPr>
          <w:lang w:val="es-ES_tradnl"/>
        </w:rPr>
        <w:t>I</w:t>
      </w:r>
      <w:r w:rsidRPr="00100F71">
        <w:rPr>
          <w:lang w:val="es-ES_tradnl"/>
        </w:rPr>
        <w:t xml:space="preserve">nicio </w:t>
      </w:r>
      <w:r w:rsidR="00657C2F" w:rsidRPr="00100F71">
        <w:rPr>
          <w:lang w:val="es-ES_tradnl"/>
        </w:rPr>
        <w:t>R</w:t>
      </w:r>
      <w:r w:rsidRPr="00100F71">
        <w:rPr>
          <w:lang w:val="es-ES_tradnl"/>
        </w:rPr>
        <w:t>ápido, teniendo en cuenta que debería informarse al Director Ejecutivo del PNUMA al menos seis meses antes del cierre.</w:t>
      </w:r>
    </w:p>
    <w:p w:rsidR="00A82CE5" w:rsidRPr="00100F71" w:rsidRDefault="00A82CE5" w:rsidP="00A82CE5">
      <w:pPr>
        <w:pStyle w:val="CH2"/>
        <w:tabs>
          <w:tab w:val="clear" w:pos="851"/>
          <w:tab w:val="clear" w:pos="1247"/>
          <w:tab w:val="clear" w:pos="1814"/>
          <w:tab w:val="clear" w:pos="2381"/>
          <w:tab w:val="clear" w:pos="2948"/>
          <w:tab w:val="clear" w:pos="3515"/>
          <w:tab w:val="left" w:pos="624"/>
        </w:tabs>
        <w:spacing w:after="80"/>
        <w:ind w:left="1248" w:hanging="624"/>
        <w:outlineLvl w:val="0"/>
        <w:rPr>
          <w:lang w:val="es-ES_tradnl"/>
        </w:rPr>
      </w:pPr>
      <w:r w:rsidRPr="00100F71">
        <w:rPr>
          <w:lang w:val="es-ES_tradnl"/>
        </w:rPr>
        <w:t>Tema 8</w:t>
      </w:r>
    </w:p>
    <w:p w:rsidR="00A82CE5" w:rsidRPr="00100F71" w:rsidRDefault="00A82CE5" w:rsidP="00A82CE5">
      <w:pPr>
        <w:pStyle w:val="CH2"/>
        <w:tabs>
          <w:tab w:val="clear" w:pos="851"/>
          <w:tab w:val="clear" w:pos="1247"/>
          <w:tab w:val="clear" w:pos="1814"/>
          <w:tab w:val="clear" w:pos="2381"/>
          <w:tab w:val="clear" w:pos="2948"/>
          <w:tab w:val="clear" w:pos="3515"/>
          <w:tab w:val="left" w:pos="624"/>
        </w:tabs>
        <w:spacing w:after="80"/>
        <w:ind w:left="1248" w:hanging="624"/>
        <w:outlineLvl w:val="0"/>
        <w:rPr>
          <w:lang w:val="es-ES_tradnl"/>
        </w:rPr>
      </w:pPr>
      <w:r w:rsidRPr="00100F71">
        <w:rPr>
          <w:lang w:val="es-ES_tradnl"/>
        </w:rPr>
        <w:t>Lugar y fecha de celebración del quinto período de sesiones de la Conferencia.</w:t>
      </w:r>
    </w:p>
    <w:p w:rsidR="00A82CE5" w:rsidRPr="00100F71" w:rsidRDefault="00A82CE5" w:rsidP="00A82CE5">
      <w:pPr>
        <w:pStyle w:val="Normalnumber"/>
        <w:keepNext/>
        <w:keepLines/>
        <w:rPr>
          <w:lang w:val="es-ES_tradnl"/>
        </w:rPr>
      </w:pPr>
      <w:r w:rsidRPr="00100F71">
        <w:rPr>
          <w:lang w:val="es-ES_tradnl"/>
        </w:rPr>
        <w:t>En el párrafo 25 de la Estrategia de Política Global se estipula que la Conferencia, salvo que decida otra cosa, celebrará su quinto período de sesiones en 2020. En la Estrategia de Política Global se solicita que los períodos de sesiones de la Conferencia se celebren, cuando proceda, inmediatamente después de las reuniones de los órganos rectores de las organizaciones intergubernamentales pertinentes a fin de aumentar las sinergias y la eficacia en función de los costos y promover el carácter multisectorial del Enfoque Estratégico.</w:t>
      </w:r>
    </w:p>
    <w:p w:rsidR="00A82CE5" w:rsidRPr="00100F71" w:rsidRDefault="00A82CE5" w:rsidP="00A82CE5">
      <w:pPr>
        <w:pStyle w:val="Normalnumber"/>
        <w:rPr>
          <w:lang w:val="es-ES_tradnl"/>
        </w:rPr>
      </w:pPr>
      <w:r w:rsidRPr="00100F71">
        <w:rPr>
          <w:lang w:val="es-ES_tradnl"/>
        </w:rPr>
        <w:t>La Conferencia tal vez desee invitar a que se presenten ofrecimientos para organizar el quinto período de sesiones de la Conferencia y pedir a la Mesa que acuerde su lugar y fecha de celebración al término del cuarto período de sesiones.</w:t>
      </w:r>
    </w:p>
    <w:p w:rsidR="00A82CE5" w:rsidRPr="00100F71" w:rsidRDefault="00A82CE5" w:rsidP="00A82CE5">
      <w:pPr>
        <w:pStyle w:val="CH2"/>
        <w:tabs>
          <w:tab w:val="clear" w:pos="851"/>
          <w:tab w:val="clear" w:pos="1247"/>
          <w:tab w:val="clear" w:pos="1814"/>
          <w:tab w:val="clear" w:pos="2381"/>
          <w:tab w:val="clear" w:pos="2948"/>
          <w:tab w:val="clear" w:pos="3515"/>
          <w:tab w:val="left" w:pos="624"/>
        </w:tabs>
        <w:spacing w:after="80"/>
        <w:ind w:left="1248" w:hanging="624"/>
        <w:outlineLvl w:val="0"/>
        <w:rPr>
          <w:lang w:val="es-ES_tradnl"/>
        </w:rPr>
      </w:pPr>
      <w:r w:rsidRPr="00100F71">
        <w:rPr>
          <w:lang w:val="es-ES_tradnl"/>
        </w:rPr>
        <w:t>Tema 9</w:t>
      </w:r>
    </w:p>
    <w:p w:rsidR="00A82CE5" w:rsidRPr="00100F71" w:rsidRDefault="00A82CE5" w:rsidP="00A82CE5">
      <w:pPr>
        <w:pStyle w:val="CH2"/>
        <w:tabs>
          <w:tab w:val="clear" w:pos="851"/>
          <w:tab w:val="clear" w:pos="1247"/>
          <w:tab w:val="clear" w:pos="1814"/>
          <w:tab w:val="clear" w:pos="2381"/>
          <w:tab w:val="clear" w:pos="2948"/>
          <w:tab w:val="clear" w:pos="3515"/>
          <w:tab w:val="left" w:pos="624"/>
        </w:tabs>
        <w:spacing w:after="80"/>
        <w:ind w:left="1248" w:hanging="624"/>
        <w:outlineLvl w:val="0"/>
        <w:rPr>
          <w:lang w:val="es-ES_tradnl"/>
        </w:rPr>
      </w:pPr>
      <w:r w:rsidRPr="00100F71">
        <w:rPr>
          <w:lang w:val="es-ES_tradnl"/>
        </w:rPr>
        <w:t>Otros asuntos</w:t>
      </w:r>
    </w:p>
    <w:p w:rsidR="00A82CE5" w:rsidRPr="00100F71" w:rsidRDefault="00A82CE5" w:rsidP="00A82CE5">
      <w:pPr>
        <w:pStyle w:val="Normalnumber"/>
        <w:rPr>
          <w:lang w:val="es-ES_tradnl"/>
        </w:rPr>
      </w:pPr>
      <w:r w:rsidRPr="00100F71">
        <w:rPr>
          <w:lang w:val="es-ES_tradnl"/>
        </w:rPr>
        <w:t>La Conferencia tal vez desee considerar otros asuntos planteados durante el período de sesiones.</w:t>
      </w:r>
    </w:p>
    <w:p w:rsidR="00A82CE5" w:rsidRPr="00100F71" w:rsidRDefault="00A82CE5" w:rsidP="00A82CE5">
      <w:pPr>
        <w:pStyle w:val="CH2"/>
        <w:tabs>
          <w:tab w:val="clear" w:pos="851"/>
          <w:tab w:val="clear" w:pos="1247"/>
          <w:tab w:val="clear" w:pos="1814"/>
          <w:tab w:val="clear" w:pos="2381"/>
          <w:tab w:val="clear" w:pos="2948"/>
          <w:tab w:val="clear" w:pos="3515"/>
          <w:tab w:val="left" w:pos="624"/>
        </w:tabs>
        <w:spacing w:after="80"/>
        <w:ind w:left="1248" w:hanging="624"/>
        <w:outlineLvl w:val="0"/>
        <w:rPr>
          <w:lang w:val="es-ES_tradnl"/>
        </w:rPr>
      </w:pPr>
      <w:r w:rsidRPr="00100F71">
        <w:rPr>
          <w:lang w:val="es-ES_tradnl"/>
        </w:rPr>
        <w:t>Tema 10</w:t>
      </w:r>
    </w:p>
    <w:p w:rsidR="00A82CE5" w:rsidRPr="00100F71" w:rsidRDefault="00A82CE5" w:rsidP="00A82CE5">
      <w:pPr>
        <w:pStyle w:val="CH2"/>
        <w:tabs>
          <w:tab w:val="clear" w:pos="851"/>
          <w:tab w:val="clear" w:pos="1247"/>
          <w:tab w:val="clear" w:pos="1814"/>
          <w:tab w:val="clear" w:pos="2381"/>
          <w:tab w:val="clear" w:pos="2948"/>
          <w:tab w:val="clear" w:pos="3515"/>
          <w:tab w:val="left" w:pos="624"/>
        </w:tabs>
        <w:spacing w:after="80"/>
        <w:ind w:left="1248" w:hanging="624"/>
        <w:outlineLvl w:val="0"/>
        <w:rPr>
          <w:lang w:val="es-ES_tradnl"/>
        </w:rPr>
      </w:pPr>
      <w:r w:rsidRPr="00100F71">
        <w:rPr>
          <w:lang w:val="es-ES_tradnl"/>
        </w:rPr>
        <w:t>Aprobación del informe</w:t>
      </w:r>
    </w:p>
    <w:p w:rsidR="00A82CE5" w:rsidRPr="00100F71" w:rsidRDefault="00A82CE5" w:rsidP="00A82CE5">
      <w:pPr>
        <w:pStyle w:val="Normalnumber"/>
        <w:rPr>
          <w:lang w:val="es-ES_tradnl"/>
        </w:rPr>
      </w:pPr>
      <w:r w:rsidRPr="00100F71">
        <w:rPr>
          <w:lang w:val="es-ES_tradnl"/>
        </w:rPr>
        <w:t>La Conferencia tal vez desee examinar y aprobar un informe sobre su labor en el cuarto período de sesiones.</w:t>
      </w:r>
    </w:p>
    <w:p w:rsidR="00A82CE5" w:rsidRPr="00100F71" w:rsidRDefault="00A82CE5" w:rsidP="00A82CE5">
      <w:pPr>
        <w:pStyle w:val="CH2"/>
        <w:tabs>
          <w:tab w:val="clear" w:pos="851"/>
          <w:tab w:val="clear" w:pos="1247"/>
          <w:tab w:val="clear" w:pos="1814"/>
          <w:tab w:val="clear" w:pos="2381"/>
          <w:tab w:val="clear" w:pos="2948"/>
          <w:tab w:val="clear" w:pos="3515"/>
          <w:tab w:val="left" w:pos="624"/>
        </w:tabs>
        <w:spacing w:after="80"/>
        <w:ind w:left="1248" w:hanging="624"/>
        <w:outlineLvl w:val="0"/>
        <w:rPr>
          <w:lang w:val="es-ES_tradnl"/>
        </w:rPr>
      </w:pPr>
      <w:r w:rsidRPr="00100F71">
        <w:rPr>
          <w:lang w:val="es-ES_tradnl"/>
        </w:rPr>
        <w:t>Tema 11</w:t>
      </w:r>
    </w:p>
    <w:p w:rsidR="00A82CE5" w:rsidRPr="00100F71" w:rsidRDefault="00A82CE5" w:rsidP="00A82CE5">
      <w:pPr>
        <w:pStyle w:val="CH2"/>
        <w:tabs>
          <w:tab w:val="clear" w:pos="851"/>
          <w:tab w:val="clear" w:pos="1247"/>
          <w:tab w:val="clear" w:pos="1814"/>
          <w:tab w:val="clear" w:pos="2381"/>
          <w:tab w:val="clear" w:pos="2948"/>
          <w:tab w:val="clear" w:pos="3515"/>
          <w:tab w:val="left" w:pos="624"/>
        </w:tabs>
        <w:spacing w:after="80"/>
        <w:ind w:left="1248" w:hanging="624"/>
        <w:outlineLvl w:val="0"/>
        <w:rPr>
          <w:lang w:val="es-ES_tradnl"/>
        </w:rPr>
      </w:pPr>
      <w:r w:rsidRPr="00100F71">
        <w:rPr>
          <w:lang w:val="es-ES_tradnl"/>
        </w:rPr>
        <w:t>Clausura del período de sesiones</w:t>
      </w:r>
    </w:p>
    <w:p w:rsidR="00A82CE5" w:rsidRPr="00100F71" w:rsidRDefault="00A82CE5" w:rsidP="00A82CE5">
      <w:pPr>
        <w:pStyle w:val="Normalnumber"/>
        <w:rPr>
          <w:lang w:val="es-ES_tradnl"/>
        </w:rPr>
      </w:pPr>
      <w:r w:rsidRPr="00100F71">
        <w:rPr>
          <w:lang w:val="es-ES_tradnl"/>
        </w:rPr>
        <w:t>Se prevé que el período de sesiones se clausure antes de las 18.00 horas del viernes 2 de octubre de 2015.</w:t>
      </w:r>
    </w:p>
    <w:tbl>
      <w:tblPr>
        <w:tblW w:w="0" w:type="auto"/>
        <w:tblLayout w:type="fixed"/>
        <w:tblLook w:val="04A0" w:firstRow="1" w:lastRow="0" w:firstColumn="1" w:lastColumn="0" w:noHBand="0" w:noVBand="1"/>
      </w:tblPr>
      <w:tblGrid>
        <w:gridCol w:w="1942"/>
        <w:gridCol w:w="1942"/>
        <w:gridCol w:w="1942"/>
        <w:gridCol w:w="1943"/>
        <w:gridCol w:w="1943"/>
      </w:tblGrid>
      <w:tr w:rsidR="00A82CE5" w:rsidRPr="00F77BB3" w:rsidTr="00100F71">
        <w:trPr>
          <w:trHeight w:val="336"/>
        </w:trPr>
        <w:tc>
          <w:tcPr>
            <w:tcW w:w="1942" w:type="dxa"/>
            <w:shd w:val="clear" w:color="auto" w:fill="auto"/>
          </w:tcPr>
          <w:p w:rsidR="00A82CE5" w:rsidRPr="00100F71" w:rsidRDefault="00A82CE5" w:rsidP="00100F71">
            <w:pPr>
              <w:pStyle w:val="Normal-pool"/>
              <w:spacing w:before="100"/>
              <w:rPr>
                <w:lang w:val="es-ES_tradnl"/>
              </w:rPr>
            </w:pPr>
          </w:p>
        </w:tc>
        <w:tc>
          <w:tcPr>
            <w:tcW w:w="1942" w:type="dxa"/>
            <w:shd w:val="clear" w:color="auto" w:fill="auto"/>
          </w:tcPr>
          <w:p w:rsidR="00A82CE5" w:rsidRPr="00100F71" w:rsidRDefault="00A82CE5" w:rsidP="00100F71">
            <w:pPr>
              <w:pStyle w:val="Normal-pool"/>
              <w:spacing w:before="100"/>
              <w:rPr>
                <w:lang w:val="es-ES_tradnl"/>
              </w:rPr>
            </w:pPr>
          </w:p>
        </w:tc>
        <w:tc>
          <w:tcPr>
            <w:tcW w:w="1942" w:type="dxa"/>
            <w:tcBorders>
              <w:bottom w:val="single" w:sz="4" w:space="0" w:color="auto"/>
            </w:tcBorders>
            <w:shd w:val="clear" w:color="auto" w:fill="auto"/>
          </w:tcPr>
          <w:p w:rsidR="00A82CE5" w:rsidRPr="00100F71" w:rsidRDefault="00A82CE5" w:rsidP="00100F71">
            <w:pPr>
              <w:pStyle w:val="Normal-pool"/>
              <w:spacing w:before="100"/>
              <w:rPr>
                <w:lang w:val="es-ES_tradnl"/>
              </w:rPr>
            </w:pPr>
          </w:p>
        </w:tc>
        <w:tc>
          <w:tcPr>
            <w:tcW w:w="1943" w:type="dxa"/>
            <w:shd w:val="clear" w:color="auto" w:fill="auto"/>
          </w:tcPr>
          <w:p w:rsidR="00A82CE5" w:rsidRPr="00100F71" w:rsidRDefault="00A82CE5" w:rsidP="00100F71">
            <w:pPr>
              <w:pStyle w:val="Normal-pool"/>
              <w:spacing w:before="100"/>
              <w:rPr>
                <w:lang w:val="es-ES_tradnl"/>
              </w:rPr>
            </w:pPr>
          </w:p>
        </w:tc>
        <w:tc>
          <w:tcPr>
            <w:tcW w:w="1943" w:type="dxa"/>
            <w:shd w:val="clear" w:color="auto" w:fill="auto"/>
          </w:tcPr>
          <w:p w:rsidR="00A82CE5" w:rsidRPr="00100F71" w:rsidRDefault="00A82CE5" w:rsidP="00100F71">
            <w:pPr>
              <w:pStyle w:val="Normal-pool"/>
              <w:spacing w:before="100"/>
              <w:rPr>
                <w:lang w:val="es-ES_tradnl"/>
              </w:rPr>
            </w:pPr>
          </w:p>
        </w:tc>
      </w:tr>
    </w:tbl>
    <w:p w:rsidR="00C72809" w:rsidRPr="00100F71" w:rsidRDefault="00C72809" w:rsidP="00A82CE5">
      <w:pPr>
        <w:pStyle w:val="Normalnumber"/>
        <w:numPr>
          <w:ilvl w:val="0"/>
          <w:numId w:val="0"/>
        </w:numPr>
        <w:tabs>
          <w:tab w:val="clear" w:pos="1247"/>
        </w:tabs>
        <w:rPr>
          <w:lang w:val="es-ES_tradnl"/>
        </w:rPr>
      </w:pPr>
    </w:p>
    <w:sectPr w:rsidR="00C72809" w:rsidRPr="00100F71" w:rsidSect="006B781E">
      <w:headerReference w:type="even" r:id="rId12"/>
      <w:headerReference w:type="default" r:id="rId13"/>
      <w:footerReference w:type="even" r:id="rId14"/>
      <w:footerReference w:type="default" r:id="rId15"/>
      <w:headerReference w:type="first" r:id="rId16"/>
      <w:footerReference w:type="first" r:id="rId17"/>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6E9" w:rsidRDefault="006536E9">
      <w:r>
        <w:separator/>
      </w:r>
    </w:p>
  </w:endnote>
  <w:endnote w:type="continuationSeparator" w:id="0">
    <w:p w:rsidR="006536E9" w:rsidRDefault="006536E9">
      <w:r>
        <w:continuationSeparator/>
      </w:r>
    </w:p>
  </w:endnote>
  <w:endnote w:type="continuationNotice" w:id="1">
    <w:p w:rsidR="006536E9" w:rsidRDefault="006536E9" w:rsidP="00B272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Univers">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6E9" w:rsidRDefault="006536E9">
    <w:pPr>
      <w:pStyle w:val="Footer"/>
    </w:pPr>
    <w:r>
      <w:rPr>
        <w:rStyle w:val="PageNumber"/>
      </w:rPr>
      <w:fldChar w:fldCharType="begin"/>
    </w:r>
    <w:r>
      <w:rPr>
        <w:rStyle w:val="PageNumber"/>
      </w:rPr>
      <w:instrText xml:space="preserve"> PAGE </w:instrText>
    </w:r>
    <w:r>
      <w:rPr>
        <w:rStyle w:val="PageNumber"/>
      </w:rPr>
      <w:fldChar w:fldCharType="separate"/>
    </w:r>
    <w:r w:rsidR="00B85FC7">
      <w:rPr>
        <w:rStyle w:val="PageNumber"/>
        <w:noProof/>
      </w:rPr>
      <w:t>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6E9" w:rsidRPr="006B781E" w:rsidRDefault="006536E9" w:rsidP="006B781E">
    <w:pPr>
      <w:pStyle w:val="Footer"/>
      <w:tabs>
        <w:tab w:val="clear" w:pos="1247"/>
        <w:tab w:val="clear" w:pos="1814"/>
        <w:tab w:val="clear" w:pos="2381"/>
        <w:tab w:val="clear" w:pos="2948"/>
        <w:tab w:val="clear" w:pos="3515"/>
        <w:tab w:val="clear" w:pos="4320"/>
        <w:tab w:val="clear" w:pos="8640"/>
        <w:tab w:val="left" w:pos="624"/>
      </w:tabs>
      <w:jc w:val="right"/>
      <w:rPr>
        <w:b/>
      </w:rPr>
    </w:pPr>
    <w:r w:rsidRPr="006B781E">
      <w:rPr>
        <w:b/>
      </w:rPr>
      <w:fldChar w:fldCharType="begin"/>
    </w:r>
    <w:r w:rsidRPr="006B781E">
      <w:rPr>
        <w:b/>
      </w:rPr>
      <w:instrText xml:space="preserve"> PAGE   \* MERGEFORMAT </w:instrText>
    </w:r>
    <w:r w:rsidRPr="006B781E">
      <w:rPr>
        <w:b/>
      </w:rPr>
      <w:fldChar w:fldCharType="separate"/>
    </w:r>
    <w:r w:rsidR="00B85FC7">
      <w:rPr>
        <w:b/>
        <w:noProof/>
      </w:rPr>
      <w:t>9</w:t>
    </w:r>
    <w:r w:rsidRPr="006B781E">
      <w:rPr>
        <w:b/>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6E9" w:rsidRPr="006B781E" w:rsidRDefault="006536E9" w:rsidP="006B781E">
    <w:pPr>
      <w:pStyle w:val="Footer"/>
      <w:tabs>
        <w:tab w:val="clear" w:pos="1247"/>
        <w:tab w:val="clear" w:pos="1814"/>
        <w:tab w:val="clear" w:pos="2381"/>
        <w:tab w:val="clear" w:pos="2948"/>
        <w:tab w:val="clear" w:pos="3515"/>
        <w:tab w:val="clear" w:pos="4320"/>
        <w:tab w:val="clear" w:pos="8640"/>
        <w:tab w:val="left" w:pos="624"/>
      </w:tabs>
      <w:rPr>
        <w:sz w:val="20"/>
      </w:rPr>
    </w:pPr>
    <w:r>
      <w:rPr>
        <w:sz w:val="20"/>
      </w:rPr>
      <w:t>K1502165</w:t>
    </w:r>
    <w:r>
      <w:rPr>
        <w:sz w:val="20"/>
      </w:rPr>
      <w:tab/>
      <w:t>0</w:t>
    </w:r>
    <w:r w:rsidR="00824FB4">
      <w:rPr>
        <w:sz w:val="20"/>
      </w:rPr>
      <w:t>3</w:t>
    </w:r>
    <w:r>
      <w:rPr>
        <w:sz w:val="20"/>
      </w:rPr>
      <w:t>09</w:t>
    </w:r>
    <w:r w:rsidRPr="006B781E">
      <w:rPr>
        <w:sz w:val="20"/>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6E9" w:rsidRDefault="006536E9" w:rsidP="00536CB4">
      <w:pPr>
        <w:ind w:left="624"/>
      </w:pPr>
      <w:r>
        <w:separator/>
      </w:r>
    </w:p>
  </w:footnote>
  <w:footnote w:type="continuationSeparator" w:id="0">
    <w:p w:rsidR="006536E9" w:rsidRDefault="006536E9">
      <w:r>
        <w:continuationSeparator/>
      </w:r>
    </w:p>
  </w:footnote>
  <w:footnote w:type="continuationNotice" w:id="1">
    <w:p w:rsidR="006536E9" w:rsidRDefault="006536E9" w:rsidP="00B272BB">
      <w:pPr>
        <w:spacing w:after="0" w:line="240" w:lineRule="auto"/>
      </w:pPr>
    </w:p>
  </w:footnote>
  <w:footnote w:id="2">
    <w:p w:rsidR="006536E9" w:rsidRPr="00F27E4F" w:rsidRDefault="006536E9" w:rsidP="006B781E">
      <w:pPr>
        <w:pStyle w:val="Normal-pool"/>
        <w:tabs>
          <w:tab w:val="clear" w:pos="1247"/>
          <w:tab w:val="clear" w:pos="1814"/>
          <w:tab w:val="clear" w:pos="2381"/>
          <w:tab w:val="clear" w:pos="2948"/>
          <w:tab w:val="clear" w:pos="3515"/>
          <w:tab w:val="left" w:pos="624"/>
        </w:tabs>
        <w:spacing w:before="20" w:after="40"/>
        <w:ind w:left="1247"/>
        <w:rPr>
          <w:sz w:val="18"/>
          <w:szCs w:val="18"/>
          <w:lang w:val="es-ES"/>
        </w:rPr>
      </w:pPr>
      <w:r w:rsidRPr="00F27E4F">
        <w:rPr>
          <w:rStyle w:val="FootnoteReference"/>
          <w:sz w:val="18"/>
          <w:lang w:val="es-ES"/>
        </w:rPr>
        <w:footnoteRef/>
      </w:r>
      <w:r>
        <w:rPr>
          <w:sz w:val="18"/>
          <w:szCs w:val="18"/>
          <w:lang w:val="es-ES"/>
        </w:rPr>
        <w:t xml:space="preserve"> </w:t>
      </w:r>
      <w:r w:rsidRPr="00F27E4F">
        <w:rPr>
          <w:sz w:val="18"/>
          <w:szCs w:val="18"/>
          <w:lang w:val="es-ES"/>
        </w:rPr>
        <w:t xml:space="preserve">En su tercer período de sesiones, la Conferencia eligió al </w:t>
      </w:r>
      <w:r>
        <w:rPr>
          <w:sz w:val="18"/>
          <w:szCs w:val="18"/>
          <w:lang w:val="es-ES"/>
        </w:rPr>
        <w:t>Sr. </w:t>
      </w:r>
      <w:proofErr w:type="spellStart"/>
      <w:r w:rsidRPr="00F27E4F">
        <w:rPr>
          <w:sz w:val="18"/>
          <w:szCs w:val="18"/>
          <w:lang w:val="es-ES"/>
        </w:rPr>
        <w:t>Ali</w:t>
      </w:r>
      <w:proofErr w:type="spellEnd"/>
      <w:r w:rsidRPr="00F27E4F">
        <w:rPr>
          <w:sz w:val="18"/>
          <w:szCs w:val="18"/>
          <w:lang w:val="es-ES"/>
        </w:rPr>
        <w:t xml:space="preserve"> </w:t>
      </w:r>
      <w:proofErr w:type="spellStart"/>
      <w:r w:rsidRPr="00F27E4F">
        <w:rPr>
          <w:sz w:val="18"/>
          <w:szCs w:val="18"/>
          <w:lang w:val="es-ES"/>
        </w:rPr>
        <w:t>Daud</w:t>
      </w:r>
      <w:proofErr w:type="spellEnd"/>
      <w:r w:rsidRPr="00F27E4F">
        <w:rPr>
          <w:sz w:val="18"/>
          <w:szCs w:val="18"/>
          <w:lang w:val="es-ES"/>
        </w:rPr>
        <w:t xml:space="preserve"> Mohamed (</w:t>
      </w:r>
      <w:proofErr w:type="spellStart"/>
      <w:r w:rsidRPr="00F27E4F">
        <w:rPr>
          <w:sz w:val="18"/>
          <w:szCs w:val="18"/>
          <w:lang w:val="es-ES"/>
        </w:rPr>
        <w:t>Kenya</w:t>
      </w:r>
      <w:proofErr w:type="spellEnd"/>
      <w:r w:rsidRPr="00F27E4F">
        <w:rPr>
          <w:sz w:val="18"/>
          <w:szCs w:val="18"/>
          <w:lang w:val="es-ES"/>
        </w:rPr>
        <w:t xml:space="preserve">) como Presidente de la Conferencia y a los siguientes cuatro Vicepresidentes: el </w:t>
      </w:r>
      <w:r>
        <w:rPr>
          <w:sz w:val="18"/>
          <w:szCs w:val="18"/>
          <w:lang w:val="es-ES"/>
        </w:rPr>
        <w:t>Sr. </w:t>
      </w:r>
      <w:proofErr w:type="spellStart"/>
      <w:r w:rsidRPr="00F27E4F">
        <w:rPr>
          <w:sz w:val="18"/>
          <w:szCs w:val="18"/>
          <w:lang w:val="es-ES"/>
        </w:rPr>
        <w:t>Nassereddin</w:t>
      </w:r>
      <w:proofErr w:type="spellEnd"/>
      <w:r w:rsidRPr="00F27E4F">
        <w:rPr>
          <w:sz w:val="18"/>
          <w:szCs w:val="18"/>
          <w:lang w:val="es-ES"/>
        </w:rPr>
        <w:t xml:space="preserve"> </w:t>
      </w:r>
      <w:proofErr w:type="spellStart"/>
      <w:r w:rsidRPr="00F27E4F">
        <w:rPr>
          <w:sz w:val="18"/>
          <w:szCs w:val="18"/>
          <w:lang w:val="es-ES"/>
        </w:rPr>
        <w:t>Heidari</w:t>
      </w:r>
      <w:proofErr w:type="spellEnd"/>
      <w:r w:rsidRPr="00F27E4F">
        <w:rPr>
          <w:sz w:val="18"/>
          <w:szCs w:val="18"/>
          <w:lang w:val="es-ES"/>
        </w:rPr>
        <w:t xml:space="preserve"> </w:t>
      </w:r>
      <w:r>
        <w:rPr>
          <w:sz w:val="18"/>
          <w:szCs w:val="18"/>
          <w:lang w:val="es-ES"/>
        </w:rPr>
        <w:t>(Irán (República Islámica del))</w:t>
      </w:r>
      <w:r w:rsidRPr="00F27E4F">
        <w:rPr>
          <w:sz w:val="18"/>
          <w:szCs w:val="18"/>
          <w:lang w:val="es-ES"/>
        </w:rPr>
        <w:t xml:space="preserve">, el </w:t>
      </w:r>
      <w:r>
        <w:rPr>
          <w:sz w:val="18"/>
          <w:szCs w:val="18"/>
          <w:lang w:val="es-ES"/>
        </w:rPr>
        <w:t>Sr. </w:t>
      </w:r>
      <w:proofErr w:type="spellStart"/>
      <w:r w:rsidRPr="00F27E4F">
        <w:rPr>
          <w:sz w:val="18"/>
          <w:szCs w:val="18"/>
          <w:lang w:val="es-ES"/>
        </w:rPr>
        <w:t>Sergey</w:t>
      </w:r>
      <w:proofErr w:type="spellEnd"/>
      <w:r w:rsidRPr="00F27E4F">
        <w:rPr>
          <w:sz w:val="18"/>
          <w:szCs w:val="18"/>
          <w:lang w:val="es-ES"/>
        </w:rPr>
        <w:t xml:space="preserve"> </w:t>
      </w:r>
      <w:proofErr w:type="spellStart"/>
      <w:r w:rsidRPr="00F27E4F">
        <w:rPr>
          <w:sz w:val="18"/>
          <w:szCs w:val="18"/>
          <w:lang w:val="es-ES"/>
        </w:rPr>
        <w:t>Trepelkov</w:t>
      </w:r>
      <w:proofErr w:type="spellEnd"/>
      <w:r w:rsidRPr="00F27E4F">
        <w:rPr>
          <w:sz w:val="18"/>
          <w:szCs w:val="18"/>
          <w:lang w:val="es-ES"/>
        </w:rPr>
        <w:t xml:space="preserve"> (Federación de Rusia), el </w:t>
      </w:r>
      <w:r>
        <w:rPr>
          <w:sz w:val="18"/>
          <w:szCs w:val="18"/>
          <w:lang w:val="es-ES"/>
        </w:rPr>
        <w:t>Sr. </w:t>
      </w:r>
      <w:r w:rsidRPr="00F27E4F">
        <w:rPr>
          <w:sz w:val="18"/>
          <w:szCs w:val="18"/>
          <w:lang w:val="es-ES"/>
        </w:rPr>
        <w:t xml:space="preserve">Marcus Richards (San Vicente y las Granadinas) y la </w:t>
      </w:r>
      <w:r>
        <w:rPr>
          <w:sz w:val="18"/>
          <w:szCs w:val="18"/>
          <w:lang w:val="es-ES"/>
        </w:rPr>
        <w:t>Sra. </w:t>
      </w:r>
      <w:proofErr w:type="spellStart"/>
      <w:r w:rsidRPr="00F27E4F">
        <w:rPr>
          <w:sz w:val="18"/>
          <w:szCs w:val="18"/>
          <w:lang w:val="es-ES"/>
        </w:rPr>
        <w:t>Gabi</w:t>
      </w:r>
      <w:proofErr w:type="spellEnd"/>
      <w:r w:rsidRPr="00F27E4F">
        <w:rPr>
          <w:sz w:val="18"/>
          <w:szCs w:val="18"/>
          <w:lang w:val="es-ES"/>
        </w:rPr>
        <w:t xml:space="preserve"> </w:t>
      </w:r>
      <w:proofErr w:type="spellStart"/>
      <w:r w:rsidRPr="00F27E4F">
        <w:rPr>
          <w:sz w:val="18"/>
          <w:szCs w:val="18"/>
          <w:lang w:val="es-ES"/>
        </w:rPr>
        <w:t>Eigenmann</w:t>
      </w:r>
      <w:proofErr w:type="spellEnd"/>
      <w:r w:rsidRPr="00F27E4F">
        <w:rPr>
          <w:sz w:val="18"/>
          <w:szCs w:val="18"/>
          <w:lang w:val="es-ES"/>
        </w:rPr>
        <w:t xml:space="preserve"> (Suiza). El </w:t>
      </w:r>
      <w:r>
        <w:rPr>
          <w:sz w:val="18"/>
          <w:szCs w:val="18"/>
          <w:lang w:val="es-ES"/>
        </w:rPr>
        <w:t>Sr. </w:t>
      </w:r>
      <w:proofErr w:type="spellStart"/>
      <w:r w:rsidRPr="00F27E4F">
        <w:rPr>
          <w:sz w:val="18"/>
          <w:szCs w:val="18"/>
          <w:lang w:val="es-ES"/>
        </w:rPr>
        <w:t>Ali</w:t>
      </w:r>
      <w:proofErr w:type="spellEnd"/>
      <w:r w:rsidRPr="00F27E4F">
        <w:rPr>
          <w:sz w:val="18"/>
          <w:szCs w:val="18"/>
          <w:lang w:val="es-ES"/>
        </w:rPr>
        <w:t xml:space="preserve"> </w:t>
      </w:r>
      <w:proofErr w:type="spellStart"/>
      <w:r w:rsidRPr="00F27E4F">
        <w:rPr>
          <w:sz w:val="18"/>
          <w:szCs w:val="18"/>
          <w:lang w:val="es-ES"/>
        </w:rPr>
        <w:t>Daus</w:t>
      </w:r>
      <w:proofErr w:type="spellEnd"/>
      <w:r w:rsidRPr="00F27E4F">
        <w:rPr>
          <w:sz w:val="18"/>
          <w:szCs w:val="18"/>
          <w:lang w:val="es-ES"/>
        </w:rPr>
        <w:t xml:space="preserve"> Mohamed (</w:t>
      </w:r>
      <w:proofErr w:type="spellStart"/>
      <w:r w:rsidRPr="00F27E4F">
        <w:rPr>
          <w:sz w:val="18"/>
          <w:szCs w:val="18"/>
          <w:lang w:val="es-ES"/>
        </w:rPr>
        <w:t>Kenya</w:t>
      </w:r>
      <w:proofErr w:type="spellEnd"/>
      <w:r w:rsidRPr="00F27E4F">
        <w:rPr>
          <w:sz w:val="18"/>
          <w:szCs w:val="18"/>
          <w:lang w:val="es-ES"/>
        </w:rPr>
        <w:t xml:space="preserve">) fue sustituido por el </w:t>
      </w:r>
      <w:r>
        <w:rPr>
          <w:sz w:val="18"/>
          <w:szCs w:val="18"/>
          <w:lang w:val="es-ES"/>
        </w:rPr>
        <w:t>Sr. </w:t>
      </w:r>
      <w:r w:rsidRPr="00F27E4F">
        <w:rPr>
          <w:sz w:val="18"/>
          <w:szCs w:val="18"/>
          <w:lang w:val="es-ES"/>
        </w:rPr>
        <w:t xml:space="preserve">Richard </w:t>
      </w:r>
      <w:proofErr w:type="spellStart"/>
      <w:r w:rsidRPr="00F27E4F">
        <w:rPr>
          <w:sz w:val="18"/>
          <w:szCs w:val="18"/>
          <w:lang w:val="es-ES"/>
        </w:rPr>
        <w:t>Lesiyampe</w:t>
      </w:r>
      <w:proofErr w:type="spellEnd"/>
      <w:r w:rsidRPr="00F27E4F">
        <w:rPr>
          <w:sz w:val="18"/>
          <w:szCs w:val="18"/>
          <w:lang w:val="es-ES"/>
        </w:rPr>
        <w:t xml:space="preserve"> (</w:t>
      </w:r>
      <w:proofErr w:type="spellStart"/>
      <w:r w:rsidRPr="00F27E4F">
        <w:rPr>
          <w:sz w:val="18"/>
          <w:szCs w:val="18"/>
          <w:lang w:val="es-ES"/>
        </w:rPr>
        <w:t>Kenya</w:t>
      </w:r>
      <w:proofErr w:type="spellEnd"/>
      <w:r w:rsidRPr="00F27E4F">
        <w:rPr>
          <w:sz w:val="18"/>
          <w:szCs w:val="18"/>
          <w:lang w:val="es-ES"/>
        </w:rPr>
        <w:t xml:space="preserve">). El </w:t>
      </w:r>
      <w:r>
        <w:rPr>
          <w:sz w:val="18"/>
          <w:szCs w:val="18"/>
          <w:lang w:val="es-ES"/>
        </w:rPr>
        <w:t>Sr. </w:t>
      </w:r>
      <w:proofErr w:type="spellStart"/>
      <w:r w:rsidRPr="00F27E4F">
        <w:rPr>
          <w:sz w:val="18"/>
          <w:szCs w:val="18"/>
          <w:lang w:val="es-ES"/>
        </w:rPr>
        <w:t>Sergey</w:t>
      </w:r>
      <w:proofErr w:type="spellEnd"/>
      <w:r w:rsidRPr="00F27E4F">
        <w:rPr>
          <w:sz w:val="18"/>
          <w:szCs w:val="18"/>
          <w:lang w:val="es-ES"/>
        </w:rPr>
        <w:t xml:space="preserve"> </w:t>
      </w:r>
      <w:proofErr w:type="spellStart"/>
      <w:r w:rsidRPr="00F27E4F">
        <w:rPr>
          <w:sz w:val="18"/>
          <w:szCs w:val="18"/>
          <w:lang w:val="es-ES"/>
        </w:rPr>
        <w:t>Trepelkov</w:t>
      </w:r>
      <w:proofErr w:type="spellEnd"/>
      <w:r w:rsidRPr="00F27E4F">
        <w:rPr>
          <w:sz w:val="18"/>
          <w:szCs w:val="18"/>
          <w:lang w:val="es-ES"/>
        </w:rPr>
        <w:t xml:space="preserve"> (Federación de Rusia) fue sustituido por el </w:t>
      </w:r>
      <w:r>
        <w:rPr>
          <w:sz w:val="18"/>
          <w:szCs w:val="18"/>
          <w:lang w:val="es-ES"/>
        </w:rPr>
        <w:t>Sr. </w:t>
      </w:r>
      <w:r w:rsidRPr="00F27E4F">
        <w:rPr>
          <w:sz w:val="18"/>
          <w:szCs w:val="18"/>
          <w:lang w:val="es-ES"/>
        </w:rPr>
        <w:t xml:space="preserve">Vladimir </w:t>
      </w:r>
      <w:proofErr w:type="spellStart"/>
      <w:r w:rsidRPr="00F27E4F">
        <w:rPr>
          <w:sz w:val="18"/>
          <w:szCs w:val="18"/>
          <w:lang w:val="es-ES"/>
        </w:rPr>
        <w:t>Lenev</w:t>
      </w:r>
      <w:proofErr w:type="spellEnd"/>
      <w:r w:rsidRPr="00F27E4F">
        <w:rPr>
          <w:sz w:val="18"/>
          <w:szCs w:val="18"/>
          <w:lang w:val="es-ES"/>
        </w:rPr>
        <w:t xml:space="preserve"> (Federación de Rusia). El Sr </w:t>
      </w:r>
      <w:proofErr w:type="spellStart"/>
      <w:r w:rsidRPr="00F27E4F">
        <w:rPr>
          <w:sz w:val="18"/>
          <w:szCs w:val="18"/>
          <w:lang w:val="es-ES"/>
        </w:rPr>
        <w:t>Nassereddin</w:t>
      </w:r>
      <w:proofErr w:type="spellEnd"/>
      <w:r w:rsidRPr="00F27E4F">
        <w:rPr>
          <w:sz w:val="18"/>
          <w:szCs w:val="18"/>
          <w:lang w:val="es-ES"/>
        </w:rPr>
        <w:t xml:space="preserve"> </w:t>
      </w:r>
      <w:proofErr w:type="spellStart"/>
      <w:r w:rsidRPr="00F27E4F">
        <w:rPr>
          <w:sz w:val="18"/>
          <w:szCs w:val="18"/>
          <w:lang w:val="es-ES"/>
        </w:rPr>
        <w:t>Heidari</w:t>
      </w:r>
      <w:proofErr w:type="spellEnd"/>
      <w:r w:rsidRPr="00F27E4F">
        <w:rPr>
          <w:sz w:val="18"/>
          <w:szCs w:val="18"/>
          <w:lang w:val="es-ES"/>
        </w:rPr>
        <w:t xml:space="preserve"> (</w:t>
      </w:r>
      <w:r>
        <w:rPr>
          <w:sz w:val="18"/>
          <w:szCs w:val="18"/>
          <w:lang w:val="es-ES"/>
        </w:rPr>
        <w:t>Irán (República Islámica del)</w:t>
      </w:r>
      <w:r w:rsidRPr="00F27E4F">
        <w:rPr>
          <w:sz w:val="18"/>
          <w:szCs w:val="18"/>
          <w:lang w:val="es-ES"/>
        </w:rPr>
        <w:t xml:space="preserve">) fue sustituido por el Sr </w:t>
      </w:r>
      <w:proofErr w:type="spellStart"/>
      <w:r w:rsidRPr="00F27E4F">
        <w:rPr>
          <w:sz w:val="18"/>
          <w:szCs w:val="18"/>
          <w:lang w:val="es-ES"/>
        </w:rPr>
        <w:t>Heidar</w:t>
      </w:r>
      <w:proofErr w:type="spellEnd"/>
      <w:r w:rsidRPr="00F27E4F">
        <w:rPr>
          <w:sz w:val="18"/>
          <w:szCs w:val="18"/>
          <w:lang w:val="es-ES"/>
        </w:rPr>
        <w:t xml:space="preserve"> </w:t>
      </w:r>
      <w:proofErr w:type="spellStart"/>
      <w:r w:rsidRPr="00F27E4F">
        <w:rPr>
          <w:sz w:val="18"/>
          <w:szCs w:val="18"/>
          <w:lang w:val="es-ES"/>
        </w:rPr>
        <w:t>Ali</w:t>
      </w:r>
      <w:proofErr w:type="spellEnd"/>
      <w:r w:rsidRPr="00F27E4F">
        <w:rPr>
          <w:sz w:val="18"/>
          <w:szCs w:val="18"/>
          <w:lang w:val="es-ES"/>
        </w:rPr>
        <w:t xml:space="preserve"> </w:t>
      </w:r>
      <w:proofErr w:type="spellStart"/>
      <w:r w:rsidRPr="00F27E4F">
        <w:rPr>
          <w:sz w:val="18"/>
          <w:szCs w:val="18"/>
          <w:lang w:val="es-ES"/>
        </w:rPr>
        <w:t>Balouji</w:t>
      </w:r>
      <w:proofErr w:type="spellEnd"/>
      <w:r w:rsidRPr="00F27E4F">
        <w:rPr>
          <w:sz w:val="18"/>
          <w:szCs w:val="18"/>
          <w:lang w:val="es-ES"/>
        </w:rPr>
        <w:t xml:space="preserve"> (</w:t>
      </w:r>
      <w:r>
        <w:rPr>
          <w:sz w:val="18"/>
          <w:szCs w:val="18"/>
          <w:lang w:val="es-ES"/>
        </w:rPr>
        <w:t>Irán (República Islámica del)</w:t>
      </w:r>
      <w:r w:rsidRPr="00F27E4F">
        <w:rPr>
          <w:sz w:val="18"/>
          <w:szCs w:val="18"/>
          <w:lang w:val="es-ES"/>
        </w:rPr>
        <w:t>).</w:t>
      </w:r>
    </w:p>
  </w:footnote>
  <w:footnote w:id="3">
    <w:p w:rsidR="006536E9" w:rsidRPr="00100F71" w:rsidRDefault="006536E9">
      <w:pPr>
        <w:pStyle w:val="FootnoteText"/>
        <w:rPr>
          <w:lang w:val="es-ES"/>
        </w:rPr>
      </w:pPr>
      <w:r>
        <w:rPr>
          <w:rStyle w:val="FootnoteReference"/>
        </w:rPr>
        <w:footnoteRef/>
      </w:r>
      <w:r>
        <w:t xml:space="preserve"> </w:t>
      </w:r>
      <w:r>
        <w:rPr>
          <w:lang w:val="es-ES"/>
        </w:rPr>
        <w:t>En el momento de preparar las anotaciones al programa la secretaría no había recibido aún todos los documentos del cuarto período de sesiones de la Conferencia Internacional sobre Gestión de los Productos Químicos por lo que los títulos de algunos documentos mencionados en el presente documento pueden diferir en algunos casos de los títulos de los documentos distribuidos.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6E9" w:rsidRPr="00316DAD" w:rsidRDefault="006536E9" w:rsidP="00536CB4">
    <w:pPr>
      <w:pStyle w:val="Header"/>
      <w:tabs>
        <w:tab w:val="clear" w:pos="1247"/>
        <w:tab w:val="clear" w:pos="4536"/>
        <w:tab w:val="clear" w:pos="9072"/>
        <w:tab w:val="left" w:pos="624"/>
      </w:tabs>
      <w:rPr>
        <w:szCs w:val="18"/>
        <w:lang w:val="fr-CH"/>
      </w:rPr>
    </w:pPr>
    <w:r w:rsidRPr="00FE35A6">
      <w:rPr>
        <w:szCs w:val="18"/>
      </w:rPr>
      <w:t>SAICM/ICCM.</w:t>
    </w:r>
    <w:r>
      <w:rPr>
        <w:szCs w:val="18"/>
      </w:rPr>
      <w:t>4</w:t>
    </w:r>
    <w:r w:rsidRPr="00FE35A6">
      <w:rPr>
        <w:szCs w:val="18"/>
      </w:rPr>
      <w:t>/</w:t>
    </w:r>
    <w:r>
      <w:rPr>
        <w:szCs w:val="18"/>
      </w:rPr>
      <w:t>1</w:t>
    </w:r>
    <w:r>
      <w:rPr>
        <w:szCs w:val="18"/>
        <w:lang w:val="fr-CH"/>
      </w:rPr>
      <w:t>/Add.1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6E9" w:rsidRPr="006B781E" w:rsidRDefault="006536E9" w:rsidP="006B781E">
    <w:pPr>
      <w:pStyle w:val="Header"/>
      <w:tabs>
        <w:tab w:val="clear" w:pos="1247"/>
        <w:tab w:val="clear" w:pos="4536"/>
        <w:tab w:val="clear" w:pos="9072"/>
        <w:tab w:val="left" w:pos="624"/>
      </w:tabs>
      <w:jc w:val="right"/>
      <w:rPr>
        <w:szCs w:val="18"/>
        <w:lang w:val="fr-CH"/>
      </w:rPr>
    </w:pPr>
    <w:r w:rsidRPr="00FE35A6">
      <w:rPr>
        <w:szCs w:val="18"/>
      </w:rPr>
      <w:t>SAICM/ICCM.</w:t>
    </w:r>
    <w:r>
      <w:rPr>
        <w:szCs w:val="18"/>
      </w:rPr>
      <w:t>4</w:t>
    </w:r>
    <w:r w:rsidRPr="00FE35A6">
      <w:rPr>
        <w:szCs w:val="18"/>
      </w:rPr>
      <w:t>/</w:t>
    </w:r>
    <w:r>
      <w:rPr>
        <w:szCs w:val="18"/>
      </w:rPr>
      <w:t>1</w:t>
    </w:r>
    <w:r>
      <w:rPr>
        <w:szCs w:val="18"/>
        <w:lang w:val="fr-CH"/>
      </w:rPr>
      <w:t>/Add.1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6E9" w:rsidRDefault="006536E9" w:rsidP="002B17D7">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25F1A"/>
    <w:multiLevelType w:val="multilevel"/>
    <w:tmpl w:val="67DCE80E"/>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1">
    <w:nsid w:val="108A2267"/>
    <w:multiLevelType w:val="multilevel"/>
    <w:tmpl w:val="DAF46EDA"/>
    <w:lvl w:ilvl="0">
      <w:start w:val="1"/>
      <w:numFmt w:val="decimal"/>
      <w:lvlText w:val="%1."/>
      <w:lvlJc w:val="left"/>
      <w:pPr>
        <w:tabs>
          <w:tab w:val="num" w:pos="567"/>
        </w:tabs>
        <w:ind w:left="1247" w:firstLine="0"/>
      </w:pPr>
      <w:rPr>
        <w:rFonts w:hint="default"/>
      </w:rPr>
    </w:lvl>
    <w:lvl w:ilvl="1">
      <w:start w:val="1"/>
      <w:numFmt w:val="lowerLetter"/>
      <w:lvlText w:val="%2)"/>
      <w:lvlJc w:val="left"/>
      <w:pPr>
        <w:ind w:left="2174" w:hanging="360"/>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2">
    <w:nsid w:val="13862EB7"/>
    <w:multiLevelType w:val="singleLevel"/>
    <w:tmpl w:val="98E88CC0"/>
    <w:lvl w:ilvl="0">
      <w:start w:val="1"/>
      <w:numFmt w:val="decimal"/>
      <w:pStyle w:val="Paralevel1Char"/>
      <w:lvlText w:val="%1."/>
      <w:lvlJc w:val="left"/>
      <w:pPr>
        <w:tabs>
          <w:tab w:val="num" w:pos="360"/>
        </w:tabs>
        <w:ind w:left="0" w:firstLine="0"/>
      </w:pPr>
      <w:rPr>
        <w:rFonts w:ascii="Times New Roman" w:hAnsi="Times New Roman" w:hint="default"/>
        <w:b w:val="0"/>
        <w:i w:val="0"/>
        <w:sz w:val="20"/>
        <w:szCs w:val="20"/>
      </w:rPr>
    </w:lvl>
  </w:abstractNum>
  <w:abstractNum w:abstractNumId="3">
    <w:nsid w:val="171113A7"/>
    <w:multiLevelType w:val="multilevel"/>
    <w:tmpl w:val="69A675E4"/>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4">
    <w:nsid w:val="1B571867"/>
    <w:multiLevelType w:val="singleLevel"/>
    <w:tmpl w:val="A2E252AA"/>
    <w:lvl w:ilvl="0">
      <w:start w:val="1"/>
      <w:numFmt w:val="upperRoman"/>
      <w:pStyle w:val="Heading8"/>
      <w:lvlText w:val="%1."/>
      <w:lvlJc w:val="left"/>
      <w:pPr>
        <w:tabs>
          <w:tab w:val="num" w:pos="720"/>
        </w:tabs>
        <w:ind w:left="720" w:hanging="720"/>
      </w:pPr>
      <w:rPr>
        <w:rFonts w:hint="default"/>
      </w:rPr>
    </w:lvl>
  </w:abstractNum>
  <w:abstractNum w:abstractNumId="5">
    <w:nsid w:val="1FE42C98"/>
    <w:multiLevelType w:val="hybridMultilevel"/>
    <w:tmpl w:val="A7BC6D18"/>
    <w:lvl w:ilvl="0" w:tplc="7DE65FE4">
      <w:start w:val="1"/>
      <w:numFmt w:val="decimal"/>
      <w:lvlText w:val="%1."/>
      <w:lvlJc w:val="left"/>
      <w:pPr>
        <w:ind w:left="1610" w:hanging="360"/>
      </w:pPr>
      <w:rPr>
        <w:b w:val="0"/>
      </w:rPr>
    </w:lvl>
    <w:lvl w:ilvl="1" w:tplc="A9C466AE">
      <w:start w:val="1"/>
      <w:numFmt w:val="lowerLetter"/>
      <w:lvlText w:val="%2)"/>
      <w:lvlJc w:val="left"/>
      <w:pPr>
        <w:ind w:left="5464" w:hanging="360"/>
      </w:pPr>
      <w:rPr>
        <w:rFonts w:ascii="Times New Roman" w:eastAsia="MS Mincho" w:hAnsi="Times New Roman" w:cs="Times New Roman"/>
        <w:b w:val="0"/>
      </w:rPr>
    </w:lvl>
    <w:lvl w:ilvl="2" w:tplc="0409001B">
      <w:start w:val="1"/>
      <w:numFmt w:val="lowerRoman"/>
      <w:lvlText w:val="%3."/>
      <w:lvlJc w:val="right"/>
      <w:pPr>
        <w:ind w:left="2163" w:hanging="180"/>
      </w:pPr>
    </w:lvl>
    <w:lvl w:ilvl="3" w:tplc="0409000F">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6">
    <w:nsid w:val="27162ABE"/>
    <w:multiLevelType w:val="hybridMultilevel"/>
    <w:tmpl w:val="CAF249EE"/>
    <w:lvl w:ilvl="0" w:tplc="139EE056">
      <w:start w:val="4"/>
      <w:numFmt w:val="lowerLetter"/>
      <w:lvlText w:val="%1)"/>
      <w:lvlJc w:val="left"/>
      <w:pPr>
        <w:ind w:left="2234" w:hanging="360"/>
      </w:pPr>
      <w:rPr>
        <w:rFonts w:hint="default"/>
      </w:rPr>
    </w:lvl>
    <w:lvl w:ilvl="1" w:tplc="04090019">
      <w:start w:val="1"/>
      <w:numFmt w:val="lowerLetter"/>
      <w:lvlText w:val="%2."/>
      <w:lvlJc w:val="left"/>
      <w:pPr>
        <w:ind w:left="2954" w:hanging="360"/>
      </w:pPr>
    </w:lvl>
    <w:lvl w:ilvl="2" w:tplc="0409001B" w:tentative="1">
      <w:start w:val="1"/>
      <w:numFmt w:val="lowerRoman"/>
      <w:lvlText w:val="%3."/>
      <w:lvlJc w:val="right"/>
      <w:pPr>
        <w:ind w:left="3674" w:hanging="180"/>
      </w:pPr>
    </w:lvl>
    <w:lvl w:ilvl="3" w:tplc="0409000F" w:tentative="1">
      <w:start w:val="1"/>
      <w:numFmt w:val="decimal"/>
      <w:lvlText w:val="%4."/>
      <w:lvlJc w:val="left"/>
      <w:pPr>
        <w:ind w:left="4394" w:hanging="360"/>
      </w:pPr>
    </w:lvl>
    <w:lvl w:ilvl="4" w:tplc="04090019" w:tentative="1">
      <w:start w:val="1"/>
      <w:numFmt w:val="lowerLetter"/>
      <w:lvlText w:val="%5."/>
      <w:lvlJc w:val="left"/>
      <w:pPr>
        <w:ind w:left="5114" w:hanging="360"/>
      </w:pPr>
    </w:lvl>
    <w:lvl w:ilvl="5" w:tplc="0409001B" w:tentative="1">
      <w:start w:val="1"/>
      <w:numFmt w:val="lowerRoman"/>
      <w:lvlText w:val="%6."/>
      <w:lvlJc w:val="right"/>
      <w:pPr>
        <w:ind w:left="5834" w:hanging="180"/>
      </w:pPr>
    </w:lvl>
    <w:lvl w:ilvl="6" w:tplc="0409000F" w:tentative="1">
      <w:start w:val="1"/>
      <w:numFmt w:val="decimal"/>
      <w:lvlText w:val="%7."/>
      <w:lvlJc w:val="left"/>
      <w:pPr>
        <w:ind w:left="6554" w:hanging="360"/>
      </w:pPr>
    </w:lvl>
    <w:lvl w:ilvl="7" w:tplc="04090019" w:tentative="1">
      <w:start w:val="1"/>
      <w:numFmt w:val="lowerLetter"/>
      <w:lvlText w:val="%8."/>
      <w:lvlJc w:val="left"/>
      <w:pPr>
        <w:ind w:left="7274" w:hanging="360"/>
      </w:pPr>
    </w:lvl>
    <w:lvl w:ilvl="8" w:tplc="0409001B" w:tentative="1">
      <w:start w:val="1"/>
      <w:numFmt w:val="lowerRoman"/>
      <w:lvlText w:val="%9."/>
      <w:lvlJc w:val="right"/>
      <w:pPr>
        <w:ind w:left="7994" w:hanging="180"/>
      </w:pPr>
    </w:lvl>
  </w:abstractNum>
  <w:abstractNum w:abstractNumId="7">
    <w:nsid w:val="35571603"/>
    <w:multiLevelType w:val="singleLevel"/>
    <w:tmpl w:val="2868AC2A"/>
    <w:lvl w:ilvl="0">
      <w:start w:val="6"/>
      <w:numFmt w:val="upperLetter"/>
      <w:pStyle w:val="Heading9"/>
      <w:lvlText w:val="%1."/>
      <w:lvlJc w:val="left"/>
      <w:pPr>
        <w:tabs>
          <w:tab w:val="num" w:pos="360"/>
        </w:tabs>
        <w:ind w:left="360" w:hanging="360"/>
      </w:pPr>
      <w:rPr>
        <w:rFonts w:hint="default"/>
      </w:rPr>
    </w:lvl>
  </w:abstractNum>
  <w:abstractNum w:abstractNumId="8">
    <w:nsid w:val="4B2225BC"/>
    <w:multiLevelType w:val="hybridMultilevel"/>
    <w:tmpl w:val="CCCC6AEA"/>
    <w:lvl w:ilvl="0" w:tplc="0409000F">
      <w:start w:val="1"/>
      <w:numFmt w:val="bullet"/>
      <w:pStyle w:val="Bullets"/>
      <w:lvlText w:val=""/>
      <w:lvlJc w:val="left"/>
      <w:pPr>
        <w:ind w:left="360" w:hanging="360"/>
      </w:pPr>
      <w:rPr>
        <w:rFonts w:ascii="Symbol" w:hAnsi="Symbol" w:hint="default"/>
      </w:rPr>
    </w:lvl>
    <w:lvl w:ilvl="1" w:tplc="BF64D242" w:tentative="1">
      <w:start w:val="1"/>
      <w:numFmt w:val="bullet"/>
      <w:lvlText w:val="o"/>
      <w:lvlJc w:val="left"/>
      <w:pPr>
        <w:ind w:left="1080" w:hanging="360"/>
      </w:pPr>
      <w:rPr>
        <w:rFonts w:ascii="Courier New" w:hAnsi="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9">
    <w:nsid w:val="52A66A9D"/>
    <w:multiLevelType w:val="multilevel"/>
    <w:tmpl w:val="48241D10"/>
    <w:styleLink w:val="Normallist"/>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num w:numId="1">
    <w:abstractNumId w:val="4"/>
  </w:num>
  <w:num w:numId="2">
    <w:abstractNumId w:val="7"/>
  </w:num>
  <w:num w:numId="3">
    <w:abstractNumId w:val="9"/>
  </w:num>
  <w:num w:numId="4">
    <w:abstractNumId w:val="2"/>
  </w:num>
  <w:num w:numId="5">
    <w:abstractNumId w:val="0"/>
  </w:num>
  <w:num w:numId="6">
    <w:abstractNumId w:va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3"/>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lvlOverride w:ilvl="0">
      <w:startOverride w:val="1"/>
    </w:lvlOverride>
    <w:lvlOverride w:ilvl="1">
      <w:startOverride w:val="4"/>
    </w:lvlOverride>
  </w:num>
  <w:num w:numId="27">
    <w:abstractNumId w:val="0"/>
  </w:num>
  <w:num w:numId="28">
    <w:abstractNumId w:val="0"/>
  </w:num>
  <w:num w:numId="29">
    <w:abstractNumId w:val="5"/>
  </w:num>
  <w:num w:numId="30">
    <w:abstractNumId w:val="5"/>
    <w:lvlOverride w:ilvl="0">
      <w:startOverride w:val="1"/>
    </w:lvlOverride>
  </w:num>
  <w:num w:numId="31">
    <w:abstractNumId w:val="6"/>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1"/>
  <w:activeWritingStyle w:appName="MSWord" w:lang="fr-CH" w:vendorID="64" w:dllVersion="131078" w:nlCheck="1" w:checkStyle="1"/>
  <w:activeWritingStyle w:appName="MSWord" w:lang="es-ES_tradnl" w:vendorID="64" w:dllVersion="131078" w:nlCheck="1" w:checkStyle="1"/>
  <w:proofState w:spelling="clean" w:grammar="clean"/>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624"/>
  <w:hyphenationZone w:val="425"/>
  <w:evenAndOddHeaders/>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777"/>
    <w:rsid w:val="00007A91"/>
    <w:rsid w:val="000115FD"/>
    <w:rsid w:val="000133F0"/>
    <w:rsid w:val="000163ED"/>
    <w:rsid w:val="00016CAC"/>
    <w:rsid w:val="00021061"/>
    <w:rsid w:val="000267A9"/>
    <w:rsid w:val="00027568"/>
    <w:rsid w:val="00032D1E"/>
    <w:rsid w:val="00034C55"/>
    <w:rsid w:val="000431D7"/>
    <w:rsid w:val="0004386D"/>
    <w:rsid w:val="00062752"/>
    <w:rsid w:val="00062844"/>
    <w:rsid w:val="00063263"/>
    <w:rsid w:val="0007194A"/>
    <w:rsid w:val="00074D8B"/>
    <w:rsid w:val="000870C4"/>
    <w:rsid w:val="00087AE5"/>
    <w:rsid w:val="00091F40"/>
    <w:rsid w:val="000A0A3C"/>
    <w:rsid w:val="000A6577"/>
    <w:rsid w:val="000B019B"/>
    <w:rsid w:val="000B692A"/>
    <w:rsid w:val="000D28AD"/>
    <w:rsid w:val="000D32DA"/>
    <w:rsid w:val="000D35D5"/>
    <w:rsid w:val="000D5FB6"/>
    <w:rsid w:val="000E182F"/>
    <w:rsid w:val="000F26E3"/>
    <w:rsid w:val="00100F71"/>
    <w:rsid w:val="0010672E"/>
    <w:rsid w:val="001069F6"/>
    <w:rsid w:val="001073B8"/>
    <w:rsid w:val="00116805"/>
    <w:rsid w:val="001222D4"/>
    <w:rsid w:val="00125DE0"/>
    <w:rsid w:val="001359D7"/>
    <w:rsid w:val="00137711"/>
    <w:rsid w:val="00167084"/>
    <w:rsid w:val="00170513"/>
    <w:rsid w:val="0017151B"/>
    <w:rsid w:val="00172628"/>
    <w:rsid w:val="0017403F"/>
    <w:rsid w:val="001768E7"/>
    <w:rsid w:val="00182EB9"/>
    <w:rsid w:val="0018304C"/>
    <w:rsid w:val="00185FCA"/>
    <w:rsid w:val="001914D0"/>
    <w:rsid w:val="00196895"/>
    <w:rsid w:val="001A5E4E"/>
    <w:rsid w:val="001B4CE5"/>
    <w:rsid w:val="001B64BB"/>
    <w:rsid w:val="001C3629"/>
    <w:rsid w:val="001C3CC3"/>
    <w:rsid w:val="001C66AD"/>
    <w:rsid w:val="001D20AA"/>
    <w:rsid w:val="001D4E0E"/>
    <w:rsid w:val="001D71E0"/>
    <w:rsid w:val="001E2B42"/>
    <w:rsid w:val="001E7C39"/>
    <w:rsid w:val="001F005B"/>
    <w:rsid w:val="001F4970"/>
    <w:rsid w:val="00203681"/>
    <w:rsid w:val="0020452F"/>
    <w:rsid w:val="00205B11"/>
    <w:rsid w:val="00214CED"/>
    <w:rsid w:val="0022066D"/>
    <w:rsid w:val="0023085A"/>
    <w:rsid w:val="00251FC6"/>
    <w:rsid w:val="002526D0"/>
    <w:rsid w:val="00260B8A"/>
    <w:rsid w:val="002623D5"/>
    <w:rsid w:val="002634DC"/>
    <w:rsid w:val="0026504A"/>
    <w:rsid w:val="00275929"/>
    <w:rsid w:val="00277D69"/>
    <w:rsid w:val="002927BF"/>
    <w:rsid w:val="00294844"/>
    <w:rsid w:val="002A46F1"/>
    <w:rsid w:val="002B17D7"/>
    <w:rsid w:val="002D72F4"/>
    <w:rsid w:val="002E21AD"/>
    <w:rsid w:val="002E48C7"/>
    <w:rsid w:val="002E7867"/>
    <w:rsid w:val="002F3809"/>
    <w:rsid w:val="003046CC"/>
    <w:rsid w:val="00304795"/>
    <w:rsid w:val="003061B1"/>
    <w:rsid w:val="00307B59"/>
    <w:rsid w:val="00315EDA"/>
    <w:rsid w:val="00316DAD"/>
    <w:rsid w:val="00320949"/>
    <w:rsid w:val="00321200"/>
    <w:rsid w:val="00330CF2"/>
    <w:rsid w:val="00335C73"/>
    <w:rsid w:val="00337089"/>
    <w:rsid w:val="003372B6"/>
    <w:rsid w:val="00350E8B"/>
    <w:rsid w:val="00352E57"/>
    <w:rsid w:val="00355208"/>
    <w:rsid w:val="00356B72"/>
    <w:rsid w:val="00362C5F"/>
    <w:rsid w:val="00364C4A"/>
    <w:rsid w:val="003712FC"/>
    <w:rsid w:val="00376471"/>
    <w:rsid w:val="00381FC3"/>
    <w:rsid w:val="00384594"/>
    <w:rsid w:val="00387948"/>
    <w:rsid w:val="003A090E"/>
    <w:rsid w:val="003A0E2E"/>
    <w:rsid w:val="003B0CC8"/>
    <w:rsid w:val="003B1206"/>
    <w:rsid w:val="003B5366"/>
    <w:rsid w:val="003D0F14"/>
    <w:rsid w:val="003D1724"/>
    <w:rsid w:val="003D6C9A"/>
    <w:rsid w:val="003E3DC9"/>
    <w:rsid w:val="003F1D85"/>
    <w:rsid w:val="003F488E"/>
    <w:rsid w:val="003F5134"/>
    <w:rsid w:val="003F58B2"/>
    <w:rsid w:val="00401D00"/>
    <w:rsid w:val="004064DF"/>
    <w:rsid w:val="00406EB2"/>
    <w:rsid w:val="00407223"/>
    <w:rsid w:val="00422AEF"/>
    <w:rsid w:val="00423478"/>
    <w:rsid w:val="00430139"/>
    <w:rsid w:val="00430861"/>
    <w:rsid w:val="00432754"/>
    <w:rsid w:val="0043364B"/>
    <w:rsid w:val="004355FD"/>
    <w:rsid w:val="0043581F"/>
    <w:rsid w:val="00436CEE"/>
    <w:rsid w:val="00453685"/>
    <w:rsid w:val="00454F57"/>
    <w:rsid w:val="004562D1"/>
    <w:rsid w:val="004639F2"/>
    <w:rsid w:val="00463CB9"/>
    <w:rsid w:val="00470388"/>
    <w:rsid w:val="00480711"/>
    <w:rsid w:val="00485E9E"/>
    <w:rsid w:val="00487EA8"/>
    <w:rsid w:val="00491AD4"/>
    <w:rsid w:val="00492FB9"/>
    <w:rsid w:val="004975E5"/>
    <w:rsid w:val="004B6E52"/>
    <w:rsid w:val="004C02AF"/>
    <w:rsid w:val="004C08E5"/>
    <w:rsid w:val="004C18CE"/>
    <w:rsid w:val="004C5202"/>
    <w:rsid w:val="004C6811"/>
    <w:rsid w:val="004C7324"/>
    <w:rsid w:val="004C7CA8"/>
    <w:rsid w:val="004E0AFE"/>
    <w:rsid w:val="004E16A8"/>
    <w:rsid w:val="004F0665"/>
    <w:rsid w:val="004F3327"/>
    <w:rsid w:val="00501A9D"/>
    <w:rsid w:val="00503C6D"/>
    <w:rsid w:val="005319F1"/>
    <w:rsid w:val="005355B9"/>
    <w:rsid w:val="005357C7"/>
    <w:rsid w:val="00536CB4"/>
    <w:rsid w:val="00543920"/>
    <w:rsid w:val="00547F49"/>
    <w:rsid w:val="00550822"/>
    <w:rsid w:val="0055156A"/>
    <w:rsid w:val="00561917"/>
    <w:rsid w:val="00561CF4"/>
    <w:rsid w:val="005671FE"/>
    <w:rsid w:val="00576054"/>
    <w:rsid w:val="00581276"/>
    <w:rsid w:val="0058238A"/>
    <w:rsid w:val="005920FF"/>
    <w:rsid w:val="00597A90"/>
    <w:rsid w:val="005A1224"/>
    <w:rsid w:val="005A260C"/>
    <w:rsid w:val="005A3C0E"/>
    <w:rsid w:val="005A7036"/>
    <w:rsid w:val="005B21B1"/>
    <w:rsid w:val="005B5D4B"/>
    <w:rsid w:val="005D3426"/>
    <w:rsid w:val="005D6777"/>
    <w:rsid w:val="005E296D"/>
    <w:rsid w:val="005E2D94"/>
    <w:rsid w:val="005F4B30"/>
    <w:rsid w:val="005F7AA0"/>
    <w:rsid w:val="00600F29"/>
    <w:rsid w:val="0060106B"/>
    <w:rsid w:val="00605394"/>
    <w:rsid w:val="00606081"/>
    <w:rsid w:val="0061344D"/>
    <w:rsid w:val="006261A9"/>
    <w:rsid w:val="00634787"/>
    <w:rsid w:val="00642FAE"/>
    <w:rsid w:val="006474EC"/>
    <w:rsid w:val="00647CE9"/>
    <w:rsid w:val="00651022"/>
    <w:rsid w:val="0065299E"/>
    <w:rsid w:val="006536E9"/>
    <w:rsid w:val="00657C2F"/>
    <w:rsid w:val="006644BF"/>
    <w:rsid w:val="006670F6"/>
    <w:rsid w:val="00672F5F"/>
    <w:rsid w:val="0067394E"/>
    <w:rsid w:val="00683923"/>
    <w:rsid w:val="00687CDC"/>
    <w:rsid w:val="00692E7F"/>
    <w:rsid w:val="006A5AA8"/>
    <w:rsid w:val="006B4016"/>
    <w:rsid w:val="006B4B7C"/>
    <w:rsid w:val="006B74C0"/>
    <w:rsid w:val="006B781E"/>
    <w:rsid w:val="006B7914"/>
    <w:rsid w:val="006C094A"/>
    <w:rsid w:val="006D4A3A"/>
    <w:rsid w:val="006D7BBA"/>
    <w:rsid w:val="006E169B"/>
    <w:rsid w:val="00702640"/>
    <w:rsid w:val="00711482"/>
    <w:rsid w:val="00713838"/>
    <w:rsid w:val="00734279"/>
    <w:rsid w:val="007365F6"/>
    <w:rsid w:val="00736BEC"/>
    <w:rsid w:val="007400AE"/>
    <w:rsid w:val="00740FBA"/>
    <w:rsid w:val="00744A1B"/>
    <w:rsid w:val="00752E25"/>
    <w:rsid w:val="00760492"/>
    <w:rsid w:val="00782250"/>
    <w:rsid w:val="007913B2"/>
    <w:rsid w:val="00795B69"/>
    <w:rsid w:val="007A1B5A"/>
    <w:rsid w:val="007A7CEA"/>
    <w:rsid w:val="007B5C3F"/>
    <w:rsid w:val="007C30D7"/>
    <w:rsid w:val="007E2FD9"/>
    <w:rsid w:val="007E7AB4"/>
    <w:rsid w:val="007F24D2"/>
    <w:rsid w:val="00810140"/>
    <w:rsid w:val="00810BE4"/>
    <w:rsid w:val="00812D81"/>
    <w:rsid w:val="00817B85"/>
    <w:rsid w:val="00824FB4"/>
    <w:rsid w:val="00825C3B"/>
    <w:rsid w:val="008276CE"/>
    <w:rsid w:val="00844293"/>
    <w:rsid w:val="0084460A"/>
    <w:rsid w:val="00846852"/>
    <w:rsid w:val="00854F86"/>
    <w:rsid w:val="00860073"/>
    <w:rsid w:val="00861751"/>
    <w:rsid w:val="008829F2"/>
    <w:rsid w:val="00883F89"/>
    <w:rsid w:val="00887CF5"/>
    <w:rsid w:val="00890724"/>
    <w:rsid w:val="00890B9E"/>
    <w:rsid w:val="00891C2C"/>
    <w:rsid w:val="00897AA4"/>
    <w:rsid w:val="008A273B"/>
    <w:rsid w:val="008A5B88"/>
    <w:rsid w:val="008A6482"/>
    <w:rsid w:val="008B5D03"/>
    <w:rsid w:val="008B6F22"/>
    <w:rsid w:val="008D1736"/>
    <w:rsid w:val="008D6CBA"/>
    <w:rsid w:val="008E4F3F"/>
    <w:rsid w:val="008E6B56"/>
    <w:rsid w:val="008F6335"/>
    <w:rsid w:val="009029A7"/>
    <w:rsid w:val="00903CB7"/>
    <w:rsid w:val="009041AB"/>
    <w:rsid w:val="009066E8"/>
    <w:rsid w:val="009245B4"/>
    <w:rsid w:val="009266CE"/>
    <w:rsid w:val="00931E13"/>
    <w:rsid w:val="0094377D"/>
    <w:rsid w:val="00946E4A"/>
    <w:rsid w:val="00946EF0"/>
    <w:rsid w:val="009603C3"/>
    <w:rsid w:val="00960FA1"/>
    <w:rsid w:val="00961F55"/>
    <w:rsid w:val="00962C5D"/>
    <w:rsid w:val="00962EED"/>
    <w:rsid w:val="009653A7"/>
    <w:rsid w:val="00966CE1"/>
    <w:rsid w:val="00972BE8"/>
    <w:rsid w:val="00977121"/>
    <w:rsid w:val="00981B41"/>
    <w:rsid w:val="00983CB1"/>
    <w:rsid w:val="009A1E5A"/>
    <w:rsid w:val="009A4C0E"/>
    <w:rsid w:val="009A6505"/>
    <w:rsid w:val="009A7E04"/>
    <w:rsid w:val="009C0A33"/>
    <w:rsid w:val="009C237B"/>
    <w:rsid w:val="009C7691"/>
    <w:rsid w:val="009E09A8"/>
    <w:rsid w:val="009E246A"/>
    <w:rsid w:val="009E3FD1"/>
    <w:rsid w:val="009F0063"/>
    <w:rsid w:val="009F0BDD"/>
    <w:rsid w:val="009F45A1"/>
    <w:rsid w:val="009F6679"/>
    <w:rsid w:val="009F6779"/>
    <w:rsid w:val="00A006BA"/>
    <w:rsid w:val="00A02E6F"/>
    <w:rsid w:val="00A0308D"/>
    <w:rsid w:val="00A159B1"/>
    <w:rsid w:val="00A208DF"/>
    <w:rsid w:val="00A27847"/>
    <w:rsid w:val="00A3747E"/>
    <w:rsid w:val="00A4061B"/>
    <w:rsid w:val="00A421C5"/>
    <w:rsid w:val="00A44393"/>
    <w:rsid w:val="00A45519"/>
    <w:rsid w:val="00A50CFF"/>
    <w:rsid w:val="00A52748"/>
    <w:rsid w:val="00A70C26"/>
    <w:rsid w:val="00A7108C"/>
    <w:rsid w:val="00A71E04"/>
    <w:rsid w:val="00A729AE"/>
    <w:rsid w:val="00A82CE5"/>
    <w:rsid w:val="00A84EAE"/>
    <w:rsid w:val="00A864D4"/>
    <w:rsid w:val="00A8753C"/>
    <w:rsid w:val="00AA4549"/>
    <w:rsid w:val="00AB3565"/>
    <w:rsid w:val="00AB7B68"/>
    <w:rsid w:val="00AD24B2"/>
    <w:rsid w:val="00AD6D2F"/>
    <w:rsid w:val="00AE0955"/>
    <w:rsid w:val="00AF0EBF"/>
    <w:rsid w:val="00AF2579"/>
    <w:rsid w:val="00AF53EE"/>
    <w:rsid w:val="00B026F7"/>
    <w:rsid w:val="00B11C06"/>
    <w:rsid w:val="00B23A7E"/>
    <w:rsid w:val="00B272BB"/>
    <w:rsid w:val="00B33660"/>
    <w:rsid w:val="00B36836"/>
    <w:rsid w:val="00B404B6"/>
    <w:rsid w:val="00B4189D"/>
    <w:rsid w:val="00B431F8"/>
    <w:rsid w:val="00B457C3"/>
    <w:rsid w:val="00B53062"/>
    <w:rsid w:val="00B544D5"/>
    <w:rsid w:val="00B642DF"/>
    <w:rsid w:val="00B652E2"/>
    <w:rsid w:val="00B706B3"/>
    <w:rsid w:val="00B71578"/>
    <w:rsid w:val="00B8063A"/>
    <w:rsid w:val="00B82FE1"/>
    <w:rsid w:val="00B83A2C"/>
    <w:rsid w:val="00B83CC2"/>
    <w:rsid w:val="00B85FC7"/>
    <w:rsid w:val="00B933BB"/>
    <w:rsid w:val="00B94534"/>
    <w:rsid w:val="00BA49AD"/>
    <w:rsid w:val="00BC0367"/>
    <w:rsid w:val="00BC0FB2"/>
    <w:rsid w:val="00BC51D8"/>
    <w:rsid w:val="00BC5793"/>
    <w:rsid w:val="00BE046E"/>
    <w:rsid w:val="00BE2BAA"/>
    <w:rsid w:val="00BE2E79"/>
    <w:rsid w:val="00BE3B2E"/>
    <w:rsid w:val="00BE5787"/>
    <w:rsid w:val="00BE7D55"/>
    <w:rsid w:val="00BE7FA1"/>
    <w:rsid w:val="00BF3F9F"/>
    <w:rsid w:val="00BF53A7"/>
    <w:rsid w:val="00C019EE"/>
    <w:rsid w:val="00C04310"/>
    <w:rsid w:val="00C1395A"/>
    <w:rsid w:val="00C13BE6"/>
    <w:rsid w:val="00C1752C"/>
    <w:rsid w:val="00C24803"/>
    <w:rsid w:val="00C30CAA"/>
    <w:rsid w:val="00C355E3"/>
    <w:rsid w:val="00C36174"/>
    <w:rsid w:val="00C426EB"/>
    <w:rsid w:val="00C448CD"/>
    <w:rsid w:val="00C51F3F"/>
    <w:rsid w:val="00C56386"/>
    <w:rsid w:val="00C630C2"/>
    <w:rsid w:val="00C64830"/>
    <w:rsid w:val="00C70089"/>
    <w:rsid w:val="00C71BA7"/>
    <w:rsid w:val="00C721D4"/>
    <w:rsid w:val="00C72809"/>
    <w:rsid w:val="00C843C6"/>
    <w:rsid w:val="00C874DC"/>
    <w:rsid w:val="00C9412A"/>
    <w:rsid w:val="00C96361"/>
    <w:rsid w:val="00CB1E3D"/>
    <w:rsid w:val="00CB5760"/>
    <w:rsid w:val="00CC42BE"/>
    <w:rsid w:val="00CC7570"/>
    <w:rsid w:val="00CD1B31"/>
    <w:rsid w:val="00CD709C"/>
    <w:rsid w:val="00CE289C"/>
    <w:rsid w:val="00CE6392"/>
    <w:rsid w:val="00CE7948"/>
    <w:rsid w:val="00CF4409"/>
    <w:rsid w:val="00CF56C1"/>
    <w:rsid w:val="00CF5A9B"/>
    <w:rsid w:val="00CF6E14"/>
    <w:rsid w:val="00D00382"/>
    <w:rsid w:val="00D114B0"/>
    <w:rsid w:val="00D22992"/>
    <w:rsid w:val="00D27185"/>
    <w:rsid w:val="00D315F0"/>
    <w:rsid w:val="00D32BD8"/>
    <w:rsid w:val="00D426CC"/>
    <w:rsid w:val="00D55DD7"/>
    <w:rsid w:val="00D57D5A"/>
    <w:rsid w:val="00D63808"/>
    <w:rsid w:val="00D6640C"/>
    <w:rsid w:val="00D70FD7"/>
    <w:rsid w:val="00D91A5B"/>
    <w:rsid w:val="00D9421B"/>
    <w:rsid w:val="00DA32F0"/>
    <w:rsid w:val="00DA59F7"/>
    <w:rsid w:val="00DA62D5"/>
    <w:rsid w:val="00DA665A"/>
    <w:rsid w:val="00DB025D"/>
    <w:rsid w:val="00DB1B3D"/>
    <w:rsid w:val="00DB38EA"/>
    <w:rsid w:val="00DB6399"/>
    <w:rsid w:val="00DB6ABB"/>
    <w:rsid w:val="00DC36E7"/>
    <w:rsid w:val="00DD305D"/>
    <w:rsid w:val="00DD4ED2"/>
    <w:rsid w:val="00DD5EAB"/>
    <w:rsid w:val="00DE1054"/>
    <w:rsid w:val="00DE20D8"/>
    <w:rsid w:val="00DE22F4"/>
    <w:rsid w:val="00DE5D3D"/>
    <w:rsid w:val="00DE639D"/>
    <w:rsid w:val="00DE6890"/>
    <w:rsid w:val="00DE7F33"/>
    <w:rsid w:val="00DF14C5"/>
    <w:rsid w:val="00DF1777"/>
    <w:rsid w:val="00DF271C"/>
    <w:rsid w:val="00DF542E"/>
    <w:rsid w:val="00E04BFB"/>
    <w:rsid w:val="00E16D5D"/>
    <w:rsid w:val="00E16E92"/>
    <w:rsid w:val="00E228BB"/>
    <w:rsid w:val="00E3682A"/>
    <w:rsid w:val="00E37D83"/>
    <w:rsid w:val="00E50F7F"/>
    <w:rsid w:val="00E522FE"/>
    <w:rsid w:val="00E5295B"/>
    <w:rsid w:val="00E5458F"/>
    <w:rsid w:val="00E5747A"/>
    <w:rsid w:val="00E60E6A"/>
    <w:rsid w:val="00E619B3"/>
    <w:rsid w:val="00E61A5A"/>
    <w:rsid w:val="00E624EB"/>
    <w:rsid w:val="00E65073"/>
    <w:rsid w:val="00E70DC6"/>
    <w:rsid w:val="00E74E32"/>
    <w:rsid w:val="00E76DC0"/>
    <w:rsid w:val="00E77A7B"/>
    <w:rsid w:val="00E80E0D"/>
    <w:rsid w:val="00E87832"/>
    <w:rsid w:val="00EA3329"/>
    <w:rsid w:val="00EB31C8"/>
    <w:rsid w:val="00EB3B2F"/>
    <w:rsid w:val="00EB3E5A"/>
    <w:rsid w:val="00EC4387"/>
    <w:rsid w:val="00EF2888"/>
    <w:rsid w:val="00EF3F25"/>
    <w:rsid w:val="00F0152B"/>
    <w:rsid w:val="00F01796"/>
    <w:rsid w:val="00F050CD"/>
    <w:rsid w:val="00F07207"/>
    <w:rsid w:val="00F148E5"/>
    <w:rsid w:val="00F15028"/>
    <w:rsid w:val="00F15351"/>
    <w:rsid w:val="00F27986"/>
    <w:rsid w:val="00F27E4F"/>
    <w:rsid w:val="00F31013"/>
    <w:rsid w:val="00F44AAB"/>
    <w:rsid w:val="00F46727"/>
    <w:rsid w:val="00F477AF"/>
    <w:rsid w:val="00F548EB"/>
    <w:rsid w:val="00F620D1"/>
    <w:rsid w:val="00F7005C"/>
    <w:rsid w:val="00F717CE"/>
    <w:rsid w:val="00F77BB3"/>
    <w:rsid w:val="00F802A7"/>
    <w:rsid w:val="00F80592"/>
    <w:rsid w:val="00F825AA"/>
    <w:rsid w:val="00F93822"/>
    <w:rsid w:val="00F9398B"/>
    <w:rsid w:val="00F94632"/>
    <w:rsid w:val="00FA1316"/>
    <w:rsid w:val="00FA247B"/>
    <w:rsid w:val="00FA2DEA"/>
    <w:rsid w:val="00FA341A"/>
    <w:rsid w:val="00FA59DB"/>
    <w:rsid w:val="00FB39DB"/>
    <w:rsid w:val="00FC79D3"/>
    <w:rsid w:val="00FE19A0"/>
    <w:rsid w:val="00FE50C8"/>
    <w:rsid w:val="00FE75A0"/>
    <w:rsid w:val="00FF37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 List" w:uiPriority="99"/>
    <w:lsdException w:name="No Spacing" w:qFormat="1"/>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85FC7"/>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number"/>
    <w:qFormat/>
    <w:rsid w:val="00B272BB"/>
    <w:pPr>
      <w:keepNext/>
      <w:spacing w:before="240" w:after="120"/>
      <w:ind w:left="1247" w:hanging="680"/>
      <w:outlineLvl w:val="0"/>
    </w:pPr>
    <w:rPr>
      <w:b/>
      <w:sz w:val="28"/>
    </w:rPr>
  </w:style>
  <w:style w:type="paragraph" w:styleId="Heading2">
    <w:name w:val="heading 2"/>
    <w:basedOn w:val="Normal"/>
    <w:next w:val="Normalnumber"/>
    <w:qFormat/>
    <w:rsid w:val="00B272BB"/>
    <w:pPr>
      <w:keepNext/>
      <w:spacing w:before="240" w:after="120"/>
      <w:ind w:left="1247" w:hanging="680"/>
      <w:outlineLvl w:val="1"/>
    </w:pPr>
    <w:rPr>
      <w:b/>
      <w:sz w:val="24"/>
      <w:szCs w:val="24"/>
    </w:rPr>
  </w:style>
  <w:style w:type="paragraph" w:styleId="Heading3">
    <w:name w:val="heading 3"/>
    <w:basedOn w:val="Normal"/>
    <w:next w:val="Normalnumber"/>
    <w:qFormat/>
    <w:rsid w:val="00B272BB"/>
    <w:pPr>
      <w:spacing w:after="120"/>
      <w:ind w:left="1247" w:hanging="680"/>
      <w:outlineLvl w:val="2"/>
    </w:pPr>
    <w:rPr>
      <w:b/>
    </w:rPr>
  </w:style>
  <w:style w:type="paragraph" w:styleId="Heading4">
    <w:name w:val="heading 4"/>
    <w:basedOn w:val="Heading3"/>
    <w:next w:val="Normalnumber"/>
    <w:qFormat/>
    <w:rsid w:val="00B272BB"/>
    <w:pPr>
      <w:keepNext/>
      <w:outlineLvl w:val="3"/>
    </w:pPr>
  </w:style>
  <w:style w:type="paragraph" w:styleId="Heading5">
    <w:name w:val="heading 5"/>
    <w:basedOn w:val="Normal"/>
    <w:next w:val="Normal"/>
    <w:qFormat/>
    <w:rsid w:val="00B272BB"/>
    <w:pPr>
      <w:keepNext/>
      <w:outlineLvl w:val="4"/>
    </w:pPr>
    <w:rPr>
      <w:rFonts w:ascii="Univers" w:hAnsi="Univers"/>
      <w:b/>
      <w:sz w:val="24"/>
    </w:rPr>
  </w:style>
  <w:style w:type="paragraph" w:styleId="Heading6">
    <w:name w:val="heading 6"/>
    <w:basedOn w:val="Normal"/>
    <w:next w:val="Normal"/>
    <w:qFormat/>
    <w:rsid w:val="00B272BB"/>
    <w:pPr>
      <w:keepNext/>
      <w:ind w:left="578"/>
      <w:outlineLvl w:val="5"/>
    </w:pPr>
    <w:rPr>
      <w:b/>
      <w:bCs/>
      <w:sz w:val="24"/>
    </w:rPr>
  </w:style>
  <w:style w:type="paragraph" w:styleId="Heading7">
    <w:name w:val="heading 7"/>
    <w:basedOn w:val="Normal"/>
    <w:next w:val="Normal"/>
    <w:qFormat/>
    <w:rsid w:val="00B272BB"/>
    <w:pPr>
      <w:keepNext/>
      <w:widowControl w:val="0"/>
      <w:jc w:val="center"/>
      <w:outlineLvl w:val="6"/>
    </w:pPr>
    <w:rPr>
      <w:snapToGrid w:val="0"/>
      <w:u w:val="single"/>
    </w:rPr>
  </w:style>
  <w:style w:type="paragraph" w:styleId="Heading8">
    <w:name w:val="heading 8"/>
    <w:basedOn w:val="Normal"/>
    <w:next w:val="Normal"/>
    <w:qFormat/>
    <w:rsid w:val="00B272BB"/>
    <w:pPr>
      <w:keepNext/>
      <w:widowControl w:val="0"/>
      <w:numPr>
        <w:numId w:val="1"/>
      </w:numPr>
      <w:tabs>
        <w:tab w:val="left" w:pos="-1440"/>
        <w:tab w:val="left" w:pos="-720"/>
      </w:tabs>
      <w:suppressAutoHyphens/>
      <w:jc w:val="center"/>
      <w:outlineLvl w:val="7"/>
    </w:pPr>
    <w:rPr>
      <w:snapToGrid w:val="0"/>
      <w:u w:val="single"/>
    </w:rPr>
  </w:style>
  <w:style w:type="paragraph" w:styleId="Heading9">
    <w:name w:val="heading 9"/>
    <w:basedOn w:val="Normal"/>
    <w:next w:val="Normal"/>
    <w:qFormat/>
    <w:rsid w:val="00B272BB"/>
    <w:pPr>
      <w:keepNext/>
      <w:widowControl w:val="0"/>
      <w:numPr>
        <w:numId w:val="2"/>
      </w:numPr>
      <w:suppressAutoHyphens/>
      <w:jc w:val="center"/>
      <w:outlineLvl w:val="8"/>
    </w:pPr>
    <w:rPr>
      <w:snapToGrid w:val="0"/>
      <w:u w:val="single"/>
    </w:rPr>
  </w:style>
  <w:style w:type="character" w:default="1" w:styleId="DefaultParagraphFont">
    <w:name w:val="Default Paragraph Font"/>
    <w:uiPriority w:val="1"/>
    <w:semiHidden/>
    <w:unhideWhenUsed/>
    <w:rsid w:val="00B85FC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85FC7"/>
  </w:style>
  <w:style w:type="character" w:styleId="PageNumber">
    <w:name w:val="page number"/>
    <w:rsid w:val="002A5A9A"/>
    <w:rPr>
      <w:rFonts w:ascii="Times New Roman" w:hAnsi="Times New Roman"/>
      <w:b/>
      <w:sz w:val="18"/>
    </w:rPr>
  </w:style>
  <w:style w:type="table" w:customStyle="1" w:styleId="Tabledocright">
    <w:name w:val="Table_doc_right"/>
    <w:basedOn w:val="TableNormal"/>
    <w:rsid w:val="002A5A9A"/>
    <w:pPr>
      <w:spacing w:before="40" w:after="40"/>
    </w:pPr>
    <w:rPr>
      <w:sz w:val="18"/>
      <w:szCs w:val="18"/>
    </w:rPr>
    <w:tblPr>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autoRedefine/>
    <w:semiHidden/>
    <w:rsid w:val="00B272BB"/>
    <w:pPr>
      <w:ind w:left="1000"/>
    </w:pPr>
    <w:rPr>
      <w:sz w:val="18"/>
      <w:szCs w:val="18"/>
    </w:rPr>
  </w:style>
  <w:style w:type="paragraph" w:styleId="TOC7">
    <w:name w:val="toc 7"/>
    <w:basedOn w:val="Normal"/>
    <w:next w:val="Normal"/>
    <w:autoRedefine/>
    <w:semiHidden/>
    <w:rsid w:val="00B272BB"/>
    <w:pPr>
      <w:ind w:left="1200"/>
    </w:pPr>
    <w:rPr>
      <w:sz w:val="18"/>
      <w:szCs w:val="18"/>
    </w:rPr>
  </w:style>
  <w:style w:type="paragraph" w:styleId="TOC8">
    <w:name w:val="toc 8"/>
    <w:basedOn w:val="Normal"/>
    <w:next w:val="Normal"/>
    <w:autoRedefine/>
    <w:semiHidden/>
    <w:rsid w:val="00B272BB"/>
    <w:pPr>
      <w:ind w:left="1400"/>
    </w:pPr>
    <w:rPr>
      <w:sz w:val="18"/>
      <w:szCs w:val="18"/>
    </w:rPr>
  </w:style>
  <w:style w:type="paragraph" w:styleId="TOC9">
    <w:name w:val="toc 9"/>
    <w:basedOn w:val="Normal"/>
    <w:next w:val="Normal"/>
    <w:autoRedefine/>
    <w:semiHidden/>
    <w:rsid w:val="00B272BB"/>
    <w:pPr>
      <w:ind w:left="1600"/>
    </w:pPr>
    <w:rPr>
      <w:sz w:val="18"/>
      <w:szCs w:val="18"/>
    </w:rPr>
  </w:style>
  <w:style w:type="paragraph" w:customStyle="1" w:styleId="Titlefigure">
    <w:name w:val="Title_figure"/>
    <w:basedOn w:val="Titletable"/>
    <w:next w:val="NormalNonumber"/>
    <w:rsid w:val="002A5A9A"/>
    <w:rPr>
      <w:bCs w:val="0"/>
    </w:rPr>
  </w:style>
  <w:style w:type="paragraph" w:styleId="TableofFigures">
    <w:name w:val="table of figures"/>
    <w:basedOn w:val="Normal"/>
    <w:next w:val="Normal"/>
    <w:autoRedefine/>
    <w:semiHidden/>
    <w:rsid w:val="00B272BB"/>
    <w:pPr>
      <w:ind w:left="1814" w:hanging="567"/>
    </w:pPr>
  </w:style>
  <w:style w:type="paragraph" w:customStyle="1" w:styleId="CH1">
    <w:name w:val="CH1"/>
    <w:basedOn w:val="Normal-pool"/>
    <w:next w:val="CH2"/>
    <w:rsid w:val="002A5A9A"/>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rsid w:val="002A5A9A"/>
    <w:pPr>
      <w:keepNext/>
      <w:keepLines/>
      <w:tabs>
        <w:tab w:val="right" w:pos="851"/>
      </w:tabs>
      <w:suppressAutoHyphens/>
      <w:spacing w:before="120" w:after="120"/>
      <w:ind w:left="1247" w:right="284" w:hanging="1247"/>
    </w:pPr>
    <w:rPr>
      <w:b/>
      <w:sz w:val="24"/>
      <w:szCs w:val="24"/>
    </w:rPr>
  </w:style>
  <w:style w:type="paragraph" w:customStyle="1" w:styleId="CH3">
    <w:name w:val="CH3"/>
    <w:basedOn w:val="Normal-pool"/>
    <w:next w:val="Normalnumber"/>
    <w:rsid w:val="002A5A9A"/>
    <w:pPr>
      <w:keepNext/>
      <w:keepLines/>
      <w:tabs>
        <w:tab w:val="right" w:pos="851"/>
      </w:tabs>
      <w:suppressAutoHyphens/>
      <w:spacing w:after="120"/>
      <w:ind w:left="1247" w:right="284" w:hanging="1247"/>
    </w:pPr>
    <w:rPr>
      <w:b/>
    </w:rPr>
  </w:style>
  <w:style w:type="paragraph" w:customStyle="1" w:styleId="CH4">
    <w:name w:val="CH4"/>
    <w:basedOn w:val="Normal-pool"/>
    <w:next w:val="Normalnumber"/>
    <w:rsid w:val="002A5A9A"/>
    <w:pPr>
      <w:keepNext/>
      <w:keepLines/>
      <w:tabs>
        <w:tab w:val="right" w:pos="851"/>
      </w:tabs>
      <w:suppressAutoHyphens/>
      <w:spacing w:after="120"/>
      <w:ind w:left="1247" w:right="284" w:hanging="1247"/>
    </w:pPr>
    <w:rPr>
      <w:b/>
    </w:rPr>
  </w:style>
  <w:style w:type="table" w:customStyle="1" w:styleId="Footertable">
    <w:name w:val="Footer_table"/>
    <w:basedOn w:val="TableNormal"/>
    <w:semiHidden/>
    <w:rsid w:val="002A5A9A"/>
    <w:rPr>
      <w:rFonts w:ascii="Arial" w:hAnsi="Arial"/>
      <w:sz w:val="16"/>
    </w:rPr>
    <w:tblPr>
      <w:jc w:val="right"/>
      <w:tblInd w:w="0" w:type="dxa"/>
      <w:tblBorders>
        <w:top w:val="double" w:sz="4" w:space="0" w:color="auto"/>
        <w:left w:val="double" w:sz="4" w:space="0" w:color="auto"/>
        <w:bottom w:val="double" w:sz="4" w:space="0" w:color="auto"/>
        <w:right w:val="double" w:sz="4" w:space="0" w:color="auto"/>
      </w:tblBorders>
      <w:tblCellMar>
        <w:top w:w="0" w:type="dxa"/>
        <w:left w:w="108" w:type="dxa"/>
        <w:bottom w:w="0" w:type="dxa"/>
        <w:right w:w="108" w:type="dxa"/>
      </w:tblCellMar>
    </w:tblPr>
    <w:trPr>
      <w:jc w:val="right"/>
    </w:trPr>
    <w:tcPr>
      <w:tcMar>
        <w:top w:w="28" w:type="dxa"/>
        <w:bottom w:w="28" w:type="dxa"/>
      </w:tcMar>
    </w:tcPr>
  </w:style>
  <w:style w:type="paragraph" w:customStyle="1" w:styleId="CH5">
    <w:name w:val="CH5"/>
    <w:basedOn w:val="Normal"/>
    <w:next w:val="Normalnumber"/>
    <w:semiHidden/>
    <w:rsid w:val="00B272BB"/>
    <w:pPr>
      <w:keepNext/>
      <w:keepLines/>
      <w:tabs>
        <w:tab w:val="right" w:pos="851"/>
      </w:tabs>
      <w:suppressAutoHyphens/>
      <w:spacing w:after="120"/>
      <w:ind w:left="1247" w:right="284" w:hanging="1247"/>
    </w:pPr>
    <w:rPr>
      <w:b/>
    </w:rPr>
  </w:style>
  <w:style w:type="paragraph" w:styleId="NormalIndent">
    <w:name w:val="Normal Indent"/>
    <w:basedOn w:val="Normal"/>
    <w:semiHidden/>
    <w:rsid w:val="00B272BB"/>
    <w:pPr>
      <w:ind w:left="1247"/>
    </w:pPr>
  </w:style>
  <w:style w:type="paragraph" w:customStyle="1" w:styleId="Normal-pool">
    <w:name w:val="Normal-pool"/>
    <w:link w:val="Normal-poolChar"/>
    <w:rsid w:val="002A5A9A"/>
    <w:pPr>
      <w:tabs>
        <w:tab w:val="left" w:pos="1247"/>
        <w:tab w:val="left" w:pos="1814"/>
        <w:tab w:val="left" w:pos="2381"/>
        <w:tab w:val="left" w:pos="2948"/>
        <w:tab w:val="left" w:pos="3515"/>
      </w:tabs>
    </w:pPr>
    <w:rPr>
      <w:lang w:val="en-GB" w:eastAsia="en-US"/>
    </w:rPr>
  </w:style>
  <w:style w:type="table" w:styleId="TableGrid">
    <w:name w:val="Table Grid"/>
    <w:basedOn w:val="TableNormal"/>
    <w:rsid w:val="002A5A9A"/>
    <w:pPr>
      <w:tabs>
        <w:tab w:val="left" w:pos="1247"/>
        <w:tab w:val="left" w:pos="1814"/>
        <w:tab w:val="left" w:pos="2381"/>
        <w:tab w:val="left" w:pos="2948"/>
        <w:tab w:val="left" w:pos="3515"/>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autoRedefine/>
    <w:qFormat/>
    <w:rsid w:val="00B272BB"/>
    <w:pPr>
      <w:spacing w:before="240" w:after="240"/>
      <w:ind w:left="1253" w:right="562"/>
      <w:outlineLvl w:val="0"/>
    </w:pPr>
    <w:rPr>
      <w:b/>
      <w:bCs/>
      <w:kern w:val="28"/>
      <w:sz w:val="28"/>
      <w:szCs w:val="28"/>
    </w:rPr>
  </w:style>
  <w:style w:type="paragraph" w:styleId="BalloonText">
    <w:name w:val="Balloon Text"/>
    <w:basedOn w:val="Normal"/>
    <w:link w:val="BalloonTextChar"/>
    <w:rsid w:val="00B272BB"/>
    <w:rPr>
      <w:rFonts w:ascii="Tahoma" w:hAnsi="Tahoma"/>
      <w:sz w:val="16"/>
      <w:szCs w:val="16"/>
      <w:lang w:val="x-none"/>
    </w:rPr>
  </w:style>
  <w:style w:type="character" w:customStyle="1" w:styleId="BalloonTextChar">
    <w:name w:val="Balloon Text Char"/>
    <w:link w:val="BalloonText"/>
    <w:rsid w:val="009E7191"/>
    <w:rPr>
      <w:rFonts w:ascii="Tahoma" w:eastAsia="Calibri" w:hAnsi="Tahoma" w:cs="Arial"/>
      <w:sz w:val="16"/>
      <w:szCs w:val="16"/>
      <w:lang w:val="x-none"/>
    </w:rPr>
  </w:style>
  <w:style w:type="character" w:styleId="FootnoteReference">
    <w:name w:val="footnote reference"/>
    <w:aliases w:val="16 Point,Superscript 6 Point,ftref,(Ref. de nota al pie),number,SUPERS,Footnote Reference Superscript,Ref,de nota al pie,註腳內容,de nota al pie + (Asian) MS Mincho,Footnote Reference S"/>
    <w:rsid w:val="002A5A9A"/>
    <w:rPr>
      <w:rFonts w:ascii="Times New Roman" w:hAnsi="Times New Roman"/>
      <w:color w:val="auto"/>
      <w:sz w:val="20"/>
      <w:szCs w:val="18"/>
      <w:vertAlign w:val="superscript"/>
    </w:rPr>
  </w:style>
  <w:style w:type="paragraph" w:styleId="FootnoteText">
    <w:name w:val="footnote text"/>
    <w:aliases w:val="Geneva 9,Font: Geneva 9,Boston 10,f,DNV-FT,Footnote01,-E Fußnotentext,ft,Fußnote,Fußnotentext Ursprung,fn,footnote text,Footnotes,Footnote ak,fn cafc,Footnotes Char Char,Footnote Text Char Char,fn Char Char,footnote text Char Char Char Ch"/>
    <w:basedOn w:val="Normal-pool"/>
    <w:link w:val="FootnoteTextChar"/>
    <w:rsid w:val="002A5A9A"/>
    <w:pPr>
      <w:spacing w:before="20" w:after="40"/>
      <w:ind w:left="1247"/>
    </w:pPr>
    <w:rPr>
      <w:sz w:val="18"/>
      <w:lang w:val="x-none"/>
    </w:rPr>
  </w:style>
  <w:style w:type="character" w:styleId="CommentReference">
    <w:name w:val="annotation reference"/>
    <w:rsid w:val="0017454A"/>
    <w:rPr>
      <w:sz w:val="16"/>
      <w:szCs w:val="16"/>
    </w:rPr>
  </w:style>
  <w:style w:type="paragraph" w:styleId="CommentText">
    <w:name w:val="annotation text"/>
    <w:basedOn w:val="Normal"/>
    <w:link w:val="CommentTextChar"/>
    <w:rsid w:val="00B272BB"/>
    <w:rPr>
      <w:lang w:val="x-none"/>
    </w:rPr>
  </w:style>
  <w:style w:type="character" w:customStyle="1" w:styleId="CommentTextChar">
    <w:name w:val="Comment Text Char"/>
    <w:link w:val="CommentText"/>
    <w:rsid w:val="0017454A"/>
    <w:rPr>
      <w:rFonts w:ascii="Calibri" w:eastAsia="Calibri" w:hAnsi="Calibri" w:cs="Arial"/>
      <w:sz w:val="22"/>
      <w:szCs w:val="22"/>
      <w:lang w:val="x-none"/>
    </w:rPr>
  </w:style>
  <w:style w:type="paragraph" w:styleId="CommentSubject">
    <w:name w:val="annotation subject"/>
    <w:basedOn w:val="CommentText"/>
    <w:next w:val="CommentText"/>
    <w:link w:val="CommentSubjectChar"/>
    <w:rsid w:val="00B272BB"/>
    <w:rPr>
      <w:b/>
      <w:bCs/>
    </w:rPr>
  </w:style>
  <w:style w:type="character" w:customStyle="1" w:styleId="CommentSubjectChar">
    <w:name w:val="Comment Subject Char"/>
    <w:link w:val="CommentSubject"/>
    <w:rsid w:val="0017454A"/>
    <w:rPr>
      <w:rFonts w:ascii="Calibri" w:eastAsia="Calibri" w:hAnsi="Calibri" w:cs="Arial"/>
      <w:b/>
      <w:bCs/>
      <w:sz w:val="22"/>
      <w:szCs w:val="22"/>
      <w:lang w:val="x-none"/>
    </w:rPr>
  </w:style>
  <w:style w:type="character" w:customStyle="1" w:styleId="HeaderChar">
    <w:name w:val="Header Char"/>
    <w:link w:val="Header"/>
    <w:uiPriority w:val="99"/>
    <w:rsid w:val="00F872AA"/>
    <w:rPr>
      <w:b/>
      <w:sz w:val="18"/>
      <w:lang w:eastAsia="en-US"/>
    </w:rPr>
  </w:style>
  <w:style w:type="character" w:customStyle="1" w:styleId="FootnoteTextChar">
    <w:name w:val="Footnote Text Char"/>
    <w:aliases w:val="Geneva 9 Char,Font: Geneva 9 Char,Boston 10 Char,f Char,DNV-FT Char,Footnote01 Char,-E Fußnotentext Char,ft Char,Fußnote Char,Fußnotentext Ursprung Char,fn Char,footnote text Char,Footnotes Char,Footnote ak Char,fn cafc Char"/>
    <w:link w:val="FootnoteText"/>
    <w:rsid w:val="00F872AA"/>
    <w:rPr>
      <w:sz w:val="18"/>
      <w:lang w:eastAsia="en-US"/>
    </w:rPr>
  </w:style>
  <w:style w:type="character" w:customStyle="1" w:styleId="NormalnumberChar">
    <w:name w:val="Normal_number Char"/>
    <w:link w:val="Normalnumber"/>
    <w:rsid w:val="006B781E"/>
    <w:rPr>
      <w:lang w:val="x-none" w:eastAsia="x-none"/>
    </w:rPr>
  </w:style>
  <w:style w:type="paragraph" w:styleId="DocumentMap">
    <w:name w:val="Document Map"/>
    <w:basedOn w:val="Normal"/>
    <w:link w:val="DocumentMapChar"/>
    <w:rsid w:val="00B272BB"/>
    <w:rPr>
      <w:rFonts w:ascii="Lucida Grande" w:hAnsi="Lucida Grande"/>
      <w:sz w:val="24"/>
      <w:szCs w:val="24"/>
      <w:lang w:eastAsia="x-none"/>
    </w:rPr>
  </w:style>
  <w:style w:type="character" w:customStyle="1" w:styleId="DocumentMapChar">
    <w:name w:val="Document Map Char"/>
    <w:link w:val="DocumentMap"/>
    <w:rsid w:val="00B22096"/>
    <w:rPr>
      <w:rFonts w:ascii="Lucida Grande" w:eastAsia="Calibri" w:hAnsi="Lucida Grande" w:cs="Arial"/>
      <w:sz w:val="24"/>
      <w:szCs w:val="24"/>
      <w:lang w:eastAsia="x-none"/>
    </w:rPr>
  </w:style>
  <w:style w:type="paragraph" w:customStyle="1" w:styleId="Paralevel1Char">
    <w:name w:val="Para level1 Char"/>
    <w:basedOn w:val="Normal"/>
    <w:rsid w:val="00B272BB"/>
    <w:pPr>
      <w:keepLines/>
      <w:widowControl w:val="0"/>
      <w:numPr>
        <w:numId w:val="4"/>
      </w:numPr>
      <w:spacing w:after="120"/>
    </w:pPr>
    <w:rPr>
      <w:rFonts w:eastAsia="MS Mincho"/>
    </w:rPr>
  </w:style>
  <w:style w:type="character" w:customStyle="1" w:styleId="CH2Char">
    <w:name w:val="CH2 Char"/>
    <w:link w:val="CH2"/>
    <w:locked/>
    <w:rsid w:val="00E619B3"/>
    <w:rPr>
      <w:b/>
      <w:sz w:val="24"/>
      <w:szCs w:val="24"/>
      <w:lang w:eastAsia="en-US"/>
    </w:rPr>
  </w:style>
  <w:style w:type="paragraph" w:customStyle="1" w:styleId="ColorfulShading-Accent11">
    <w:name w:val="Colorful Shading - Accent 11"/>
    <w:hidden/>
    <w:rsid w:val="00F93822"/>
    <w:rPr>
      <w:lang w:val="en-GB" w:eastAsia="en-US"/>
    </w:rPr>
  </w:style>
  <w:style w:type="table" w:customStyle="1" w:styleId="AATable">
    <w:name w:val="AA_Table"/>
    <w:basedOn w:val="TableNormal"/>
    <w:rsid w:val="002A5A9A"/>
    <w:tblPr>
      <w:tblStyleRowBandSize w:val="1"/>
      <w:tblStyleColBandSize w:val="1"/>
      <w:jc w:val="right"/>
      <w:tblInd w:w="0" w:type="dxa"/>
      <w:tblCellMar>
        <w:top w:w="0" w:type="dxa"/>
        <w:left w:w="108" w:type="dxa"/>
        <w:bottom w:w="0" w:type="dxa"/>
        <w:right w:w="108" w:type="dxa"/>
      </w:tblCellMar>
    </w:tblPr>
    <w:trPr>
      <w:jc w:val="right"/>
    </w:trPr>
    <w:tblStylePr w:type="firstRow">
      <w:pPr>
        <w:wordWrap/>
        <w:spacing w:beforeLines="0" w:before="0" w:beforeAutospacing="0" w:afterLines="0" w:after="0" w:afterAutospacing="0"/>
        <w:contextualSpacing w:val="0"/>
        <w:jc w:val="left"/>
      </w:pPr>
      <w:rPr>
        <w:rFonts w:ascii="Courier New" w:hAnsi="Courier New"/>
        <w:b/>
        <w:i w:val="0"/>
        <w:caps/>
        <w:smallCaps w:val="0"/>
        <w:color w:val="auto"/>
        <w:sz w:val="27"/>
        <w:szCs w:val="27"/>
      </w:rPr>
    </w:tblStylePr>
    <w:tblStylePr w:type="lastRow">
      <w:pPr>
        <w:wordWrap/>
        <w:spacing w:beforeLines="0" w:before="120" w:beforeAutospacing="0" w:afterLines="0" w:after="0" w:afterAutospacing="0"/>
        <w:ind w:rightChars="0" w:right="567"/>
        <w:contextualSpacing w:val="0"/>
      </w:pPr>
      <w:rPr>
        <w:rFonts w:ascii="Courier New" w:hAnsi="Courier New"/>
        <w:b/>
        <w:sz w:val="28"/>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Courier New" w:hAnsi="Courier New"/>
        <w:b/>
        <w:i w:val="0"/>
        <w:color w:val="auto"/>
        <w:sz w:val="64"/>
        <w:szCs w:val="64"/>
      </w:rPr>
    </w:tblStylePr>
    <w:tblStylePr w:type="nwCell">
      <w:rPr>
        <w:rFonts w:ascii="Courier New" w:hAnsi="Courier New"/>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240" w:afterAutospacing="0"/>
        <w:ind w:rightChars="0" w:right="0"/>
      </w:pPr>
      <w:rPr>
        <w:rFonts w:ascii="Times New Roman" w:hAnsi="Times New Roman"/>
      </w:rPr>
    </w:tblStylePr>
  </w:style>
  <w:style w:type="paragraph" w:customStyle="1" w:styleId="AATitle">
    <w:name w:val="AA_Title"/>
    <w:basedOn w:val="Normal-pool"/>
    <w:rsid w:val="002A5A9A"/>
    <w:pPr>
      <w:keepNext/>
      <w:keepLines/>
      <w:suppressAutoHyphens/>
      <w:ind w:right="3402"/>
    </w:pPr>
    <w:rPr>
      <w:b/>
    </w:rPr>
  </w:style>
  <w:style w:type="paragraph" w:customStyle="1" w:styleId="AATitle2">
    <w:name w:val="AA_Title2"/>
    <w:basedOn w:val="AATitle"/>
    <w:rsid w:val="002A5A9A"/>
    <w:pPr>
      <w:spacing w:before="120" w:after="120"/>
      <w:ind w:right="1701"/>
    </w:pPr>
  </w:style>
  <w:style w:type="paragraph" w:customStyle="1" w:styleId="BBTitle">
    <w:name w:val="BB_Title"/>
    <w:basedOn w:val="Normal-pool"/>
    <w:rsid w:val="002A5A9A"/>
    <w:pPr>
      <w:keepNext/>
      <w:keepLines/>
      <w:suppressAutoHyphens/>
      <w:spacing w:before="320" w:after="240"/>
      <w:ind w:left="1247" w:right="567"/>
    </w:pPr>
    <w:rPr>
      <w:b/>
      <w:sz w:val="28"/>
      <w:szCs w:val="28"/>
    </w:rPr>
  </w:style>
  <w:style w:type="paragraph" w:styleId="Footer">
    <w:name w:val="footer"/>
    <w:basedOn w:val="Normal-pool"/>
    <w:rsid w:val="002A5A9A"/>
    <w:pPr>
      <w:tabs>
        <w:tab w:val="center" w:pos="4320"/>
        <w:tab w:val="right" w:pos="8640"/>
      </w:tabs>
      <w:spacing w:before="60" w:after="120"/>
    </w:pPr>
    <w:rPr>
      <w:sz w:val="18"/>
    </w:rPr>
  </w:style>
  <w:style w:type="paragraph" w:styleId="Header">
    <w:name w:val="header"/>
    <w:basedOn w:val="Normal-pool"/>
    <w:link w:val="HeaderChar"/>
    <w:uiPriority w:val="99"/>
    <w:rsid w:val="002A5A9A"/>
    <w:pPr>
      <w:pBdr>
        <w:bottom w:val="single" w:sz="4" w:space="1" w:color="auto"/>
      </w:pBdr>
      <w:tabs>
        <w:tab w:val="clear" w:pos="1814"/>
        <w:tab w:val="clear" w:pos="2381"/>
        <w:tab w:val="clear" w:pos="2948"/>
        <w:tab w:val="clear" w:pos="3515"/>
        <w:tab w:val="center" w:pos="4536"/>
        <w:tab w:val="right" w:pos="9072"/>
      </w:tabs>
      <w:spacing w:after="120"/>
    </w:pPr>
    <w:rPr>
      <w:b/>
      <w:sz w:val="18"/>
      <w:lang w:val="x-none"/>
    </w:rPr>
  </w:style>
  <w:style w:type="character" w:styleId="Hyperlink">
    <w:name w:val="Hyperlink"/>
    <w:semiHidden/>
    <w:rsid w:val="002A5A9A"/>
    <w:rPr>
      <w:rFonts w:ascii="Times New Roman" w:hAnsi="Times New Roman"/>
      <w:color w:val="auto"/>
      <w:sz w:val="20"/>
      <w:szCs w:val="20"/>
      <w:u w:val="none"/>
      <w:lang w:val="fr-FR"/>
    </w:rPr>
  </w:style>
  <w:style w:type="numbering" w:customStyle="1" w:styleId="Normallist">
    <w:name w:val="Normal_list"/>
    <w:basedOn w:val="NoList"/>
    <w:rsid w:val="002A5A9A"/>
    <w:pPr>
      <w:numPr>
        <w:numId w:val="3"/>
      </w:numPr>
    </w:pPr>
  </w:style>
  <w:style w:type="paragraph" w:customStyle="1" w:styleId="NormalNonumber">
    <w:name w:val="Normal_No_number"/>
    <w:basedOn w:val="Normal-pool"/>
    <w:autoRedefine/>
    <w:rsid w:val="002A5A9A"/>
    <w:pPr>
      <w:spacing w:after="120"/>
      <w:ind w:left="1247"/>
    </w:pPr>
  </w:style>
  <w:style w:type="paragraph" w:customStyle="1" w:styleId="Normalnumber">
    <w:name w:val="Normal_number"/>
    <w:basedOn w:val="Normal-pool"/>
    <w:link w:val="NormalnumberChar"/>
    <w:rsid w:val="006B781E"/>
    <w:pPr>
      <w:numPr>
        <w:numId w:val="5"/>
      </w:numPr>
      <w:tabs>
        <w:tab w:val="clear" w:pos="1814"/>
        <w:tab w:val="clear" w:pos="2381"/>
        <w:tab w:val="clear" w:pos="2948"/>
        <w:tab w:val="clear" w:pos="3515"/>
        <w:tab w:val="left" w:pos="624"/>
      </w:tabs>
      <w:spacing w:after="120"/>
    </w:pPr>
    <w:rPr>
      <w:lang w:val="x-none" w:eastAsia="x-none"/>
    </w:rPr>
  </w:style>
  <w:style w:type="paragraph" w:customStyle="1" w:styleId="Titletable">
    <w:name w:val="Title_table"/>
    <w:basedOn w:val="Normal-pool"/>
    <w:next w:val="NormalNonumber"/>
    <w:rsid w:val="002A5A9A"/>
    <w:pPr>
      <w:keepNext/>
      <w:keepLines/>
      <w:suppressAutoHyphens/>
      <w:spacing w:after="60"/>
      <w:ind w:left="1247"/>
    </w:pPr>
    <w:rPr>
      <w:b/>
      <w:bCs/>
    </w:rPr>
  </w:style>
  <w:style w:type="paragraph" w:styleId="TOC1">
    <w:name w:val="toc 1"/>
    <w:basedOn w:val="Normal-pool"/>
    <w:next w:val="Normal-pool"/>
    <w:rsid w:val="002A5A9A"/>
    <w:pPr>
      <w:tabs>
        <w:tab w:val="clear" w:pos="2381"/>
        <w:tab w:val="clear" w:pos="2948"/>
        <w:tab w:val="clear" w:pos="3515"/>
        <w:tab w:val="right" w:leader="dot" w:pos="9486"/>
      </w:tabs>
      <w:spacing w:before="240"/>
      <w:ind w:left="1814" w:hanging="567"/>
    </w:pPr>
    <w:rPr>
      <w:bCs/>
    </w:rPr>
  </w:style>
  <w:style w:type="paragraph" w:styleId="TOC2">
    <w:name w:val="toc 2"/>
    <w:basedOn w:val="Normal-pool"/>
    <w:next w:val="Normal-pool"/>
    <w:rsid w:val="002A5A9A"/>
    <w:pPr>
      <w:tabs>
        <w:tab w:val="clear" w:pos="1814"/>
        <w:tab w:val="clear" w:pos="2948"/>
        <w:tab w:val="clear" w:pos="3515"/>
        <w:tab w:val="right" w:leader="dot" w:pos="9486"/>
      </w:tabs>
      <w:ind w:left="2381" w:hanging="567"/>
    </w:pPr>
  </w:style>
  <w:style w:type="paragraph" w:styleId="TOC3">
    <w:name w:val="toc 3"/>
    <w:basedOn w:val="Normal-pool"/>
    <w:next w:val="Normal-pool"/>
    <w:rsid w:val="002A5A9A"/>
    <w:pPr>
      <w:tabs>
        <w:tab w:val="clear" w:pos="1814"/>
        <w:tab w:val="clear" w:pos="2381"/>
        <w:tab w:val="clear" w:pos="2948"/>
        <w:tab w:val="clear" w:pos="3515"/>
        <w:tab w:val="right" w:leader="dot" w:pos="9486"/>
      </w:tabs>
      <w:ind w:left="2948" w:hanging="567"/>
    </w:pPr>
    <w:rPr>
      <w:iCs/>
    </w:rPr>
  </w:style>
  <w:style w:type="paragraph" w:styleId="TOC4">
    <w:name w:val="toc 4"/>
    <w:basedOn w:val="Normal-pool"/>
    <w:next w:val="Normal-pool"/>
    <w:rsid w:val="002A5A9A"/>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B272BB"/>
    <w:pPr>
      <w:ind w:left="800"/>
    </w:pPr>
    <w:rPr>
      <w:sz w:val="18"/>
      <w:szCs w:val="18"/>
    </w:rPr>
  </w:style>
  <w:style w:type="paragraph" w:customStyle="1" w:styleId="ZZAnxheader">
    <w:name w:val="ZZ_Anx_header"/>
    <w:basedOn w:val="Normal-pool"/>
    <w:rsid w:val="002A5A9A"/>
    <w:rPr>
      <w:b/>
      <w:bCs/>
      <w:sz w:val="28"/>
      <w:szCs w:val="22"/>
    </w:rPr>
  </w:style>
  <w:style w:type="paragraph" w:customStyle="1" w:styleId="ZZAnxtitle">
    <w:name w:val="ZZ_Anx_title"/>
    <w:basedOn w:val="Normal-pool"/>
    <w:rsid w:val="002A5A9A"/>
    <w:pPr>
      <w:spacing w:before="360" w:after="120"/>
      <w:ind w:left="1247"/>
    </w:pPr>
    <w:rPr>
      <w:b/>
      <w:bCs/>
      <w:sz w:val="28"/>
      <w:szCs w:val="26"/>
    </w:rPr>
  </w:style>
  <w:style w:type="paragraph" w:customStyle="1" w:styleId="Bullets">
    <w:name w:val="Bullets"/>
    <w:basedOn w:val="Normal"/>
    <w:rsid w:val="00561CF4"/>
    <w:pPr>
      <w:numPr>
        <w:numId w:val="6"/>
      </w:numPr>
      <w:spacing w:after="0" w:line="240" w:lineRule="auto"/>
    </w:pPr>
    <w:rPr>
      <w:rFonts w:ascii="Cambria" w:eastAsia="Cambria" w:hAnsi="Cambria"/>
      <w:sz w:val="24"/>
      <w:szCs w:val="24"/>
      <w:lang w:val="en-GB"/>
    </w:rPr>
  </w:style>
  <w:style w:type="character" w:customStyle="1" w:styleId="Normal-poolChar">
    <w:name w:val="Normal-pool Char"/>
    <w:link w:val="Normal-pool"/>
    <w:rsid w:val="00214CED"/>
    <w:rPr>
      <w:lang w:val="en-GB"/>
    </w:rPr>
  </w:style>
  <w:style w:type="character" w:styleId="Strong">
    <w:name w:val="Strong"/>
    <w:uiPriority w:val="22"/>
    <w:qFormat/>
    <w:rsid w:val="00F050CD"/>
    <w:rPr>
      <w:b/>
      <w:bCs/>
    </w:rPr>
  </w:style>
  <w:style w:type="paragraph" w:styleId="Revision">
    <w:name w:val="Revision"/>
    <w:hidden/>
    <w:rsid w:val="00CE7948"/>
    <w:rPr>
      <w:rFonts w:ascii="Calibri" w:eastAsia="Calibri" w:hAnsi="Calibri"/>
      <w:sz w:val="22"/>
      <w:szCs w:val="22"/>
      <w:lang w:val="es-ES_tradnl" w:eastAsia="en-US"/>
    </w:rPr>
  </w:style>
  <w:style w:type="paragraph" w:styleId="TOCHeading">
    <w:name w:val="TOC Heading"/>
    <w:basedOn w:val="Heading1"/>
    <w:next w:val="Normal"/>
    <w:semiHidden/>
    <w:unhideWhenUsed/>
    <w:qFormat/>
    <w:rsid w:val="00687CDC"/>
    <w:pPr>
      <w:keepLines/>
      <w:spacing w:before="480" w:after="0"/>
      <w:ind w:left="0" w:firstLine="0"/>
      <w:outlineLvl w:val="9"/>
    </w:pPr>
    <w:rPr>
      <w:rFonts w:asciiTheme="majorHAnsi" w:eastAsiaTheme="majorEastAsia" w:hAnsiTheme="majorHAnsi" w:cstheme="majorBidi"/>
      <w:bCs/>
      <w:color w:val="365F91" w:themeColor="accent1" w:themeShade="BF"/>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 List" w:uiPriority="99"/>
    <w:lsdException w:name="No Spacing" w:qFormat="1"/>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85FC7"/>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number"/>
    <w:qFormat/>
    <w:rsid w:val="00B272BB"/>
    <w:pPr>
      <w:keepNext/>
      <w:spacing w:before="240" w:after="120"/>
      <w:ind w:left="1247" w:hanging="680"/>
      <w:outlineLvl w:val="0"/>
    </w:pPr>
    <w:rPr>
      <w:b/>
      <w:sz w:val="28"/>
    </w:rPr>
  </w:style>
  <w:style w:type="paragraph" w:styleId="Heading2">
    <w:name w:val="heading 2"/>
    <w:basedOn w:val="Normal"/>
    <w:next w:val="Normalnumber"/>
    <w:qFormat/>
    <w:rsid w:val="00B272BB"/>
    <w:pPr>
      <w:keepNext/>
      <w:spacing w:before="240" w:after="120"/>
      <w:ind w:left="1247" w:hanging="680"/>
      <w:outlineLvl w:val="1"/>
    </w:pPr>
    <w:rPr>
      <w:b/>
      <w:sz w:val="24"/>
      <w:szCs w:val="24"/>
    </w:rPr>
  </w:style>
  <w:style w:type="paragraph" w:styleId="Heading3">
    <w:name w:val="heading 3"/>
    <w:basedOn w:val="Normal"/>
    <w:next w:val="Normalnumber"/>
    <w:qFormat/>
    <w:rsid w:val="00B272BB"/>
    <w:pPr>
      <w:spacing w:after="120"/>
      <w:ind w:left="1247" w:hanging="680"/>
      <w:outlineLvl w:val="2"/>
    </w:pPr>
    <w:rPr>
      <w:b/>
    </w:rPr>
  </w:style>
  <w:style w:type="paragraph" w:styleId="Heading4">
    <w:name w:val="heading 4"/>
    <w:basedOn w:val="Heading3"/>
    <w:next w:val="Normalnumber"/>
    <w:qFormat/>
    <w:rsid w:val="00B272BB"/>
    <w:pPr>
      <w:keepNext/>
      <w:outlineLvl w:val="3"/>
    </w:pPr>
  </w:style>
  <w:style w:type="paragraph" w:styleId="Heading5">
    <w:name w:val="heading 5"/>
    <w:basedOn w:val="Normal"/>
    <w:next w:val="Normal"/>
    <w:qFormat/>
    <w:rsid w:val="00B272BB"/>
    <w:pPr>
      <w:keepNext/>
      <w:outlineLvl w:val="4"/>
    </w:pPr>
    <w:rPr>
      <w:rFonts w:ascii="Univers" w:hAnsi="Univers"/>
      <w:b/>
      <w:sz w:val="24"/>
    </w:rPr>
  </w:style>
  <w:style w:type="paragraph" w:styleId="Heading6">
    <w:name w:val="heading 6"/>
    <w:basedOn w:val="Normal"/>
    <w:next w:val="Normal"/>
    <w:qFormat/>
    <w:rsid w:val="00B272BB"/>
    <w:pPr>
      <w:keepNext/>
      <w:ind w:left="578"/>
      <w:outlineLvl w:val="5"/>
    </w:pPr>
    <w:rPr>
      <w:b/>
      <w:bCs/>
      <w:sz w:val="24"/>
    </w:rPr>
  </w:style>
  <w:style w:type="paragraph" w:styleId="Heading7">
    <w:name w:val="heading 7"/>
    <w:basedOn w:val="Normal"/>
    <w:next w:val="Normal"/>
    <w:qFormat/>
    <w:rsid w:val="00B272BB"/>
    <w:pPr>
      <w:keepNext/>
      <w:widowControl w:val="0"/>
      <w:jc w:val="center"/>
      <w:outlineLvl w:val="6"/>
    </w:pPr>
    <w:rPr>
      <w:snapToGrid w:val="0"/>
      <w:u w:val="single"/>
    </w:rPr>
  </w:style>
  <w:style w:type="paragraph" w:styleId="Heading8">
    <w:name w:val="heading 8"/>
    <w:basedOn w:val="Normal"/>
    <w:next w:val="Normal"/>
    <w:qFormat/>
    <w:rsid w:val="00B272BB"/>
    <w:pPr>
      <w:keepNext/>
      <w:widowControl w:val="0"/>
      <w:numPr>
        <w:numId w:val="1"/>
      </w:numPr>
      <w:tabs>
        <w:tab w:val="left" w:pos="-1440"/>
        <w:tab w:val="left" w:pos="-720"/>
      </w:tabs>
      <w:suppressAutoHyphens/>
      <w:jc w:val="center"/>
      <w:outlineLvl w:val="7"/>
    </w:pPr>
    <w:rPr>
      <w:snapToGrid w:val="0"/>
      <w:u w:val="single"/>
    </w:rPr>
  </w:style>
  <w:style w:type="paragraph" w:styleId="Heading9">
    <w:name w:val="heading 9"/>
    <w:basedOn w:val="Normal"/>
    <w:next w:val="Normal"/>
    <w:qFormat/>
    <w:rsid w:val="00B272BB"/>
    <w:pPr>
      <w:keepNext/>
      <w:widowControl w:val="0"/>
      <w:numPr>
        <w:numId w:val="2"/>
      </w:numPr>
      <w:suppressAutoHyphens/>
      <w:jc w:val="center"/>
      <w:outlineLvl w:val="8"/>
    </w:pPr>
    <w:rPr>
      <w:snapToGrid w:val="0"/>
      <w:u w:val="single"/>
    </w:rPr>
  </w:style>
  <w:style w:type="character" w:default="1" w:styleId="DefaultParagraphFont">
    <w:name w:val="Default Paragraph Font"/>
    <w:uiPriority w:val="1"/>
    <w:semiHidden/>
    <w:unhideWhenUsed/>
    <w:rsid w:val="00B85FC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85FC7"/>
  </w:style>
  <w:style w:type="character" w:styleId="PageNumber">
    <w:name w:val="page number"/>
    <w:rsid w:val="002A5A9A"/>
    <w:rPr>
      <w:rFonts w:ascii="Times New Roman" w:hAnsi="Times New Roman"/>
      <w:b/>
      <w:sz w:val="18"/>
    </w:rPr>
  </w:style>
  <w:style w:type="table" w:customStyle="1" w:styleId="Tabledocright">
    <w:name w:val="Table_doc_right"/>
    <w:basedOn w:val="TableNormal"/>
    <w:rsid w:val="002A5A9A"/>
    <w:pPr>
      <w:spacing w:before="40" w:after="40"/>
    </w:pPr>
    <w:rPr>
      <w:sz w:val="18"/>
      <w:szCs w:val="18"/>
    </w:rPr>
    <w:tblPr>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autoRedefine/>
    <w:semiHidden/>
    <w:rsid w:val="00B272BB"/>
    <w:pPr>
      <w:ind w:left="1000"/>
    </w:pPr>
    <w:rPr>
      <w:sz w:val="18"/>
      <w:szCs w:val="18"/>
    </w:rPr>
  </w:style>
  <w:style w:type="paragraph" w:styleId="TOC7">
    <w:name w:val="toc 7"/>
    <w:basedOn w:val="Normal"/>
    <w:next w:val="Normal"/>
    <w:autoRedefine/>
    <w:semiHidden/>
    <w:rsid w:val="00B272BB"/>
    <w:pPr>
      <w:ind w:left="1200"/>
    </w:pPr>
    <w:rPr>
      <w:sz w:val="18"/>
      <w:szCs w:val="18"/>
    </w:rPr>
  </w:style>
  <w:style w:type="paragraph" w:styleId="TOC8">
    <w:name w:val="toc 8"/>
    <w:basedOn w:val="Normal"/>
    <w:next w:val="Normal"/>
    <w:autoRedefine/>
    <w:semiHidden/>
    <w:rsid w:val="00B272BB"/>
    <w:pPr>
      <w:ind w:left="1400"/>
    </w:pPr>
    <w:rPr>
      <w:sz w:val="18"/>
      <w:szCs w:val="18"/>
    </w:rPr>
  </w:style>
  <w:style w:type="paragraph" w:styleId="TOC9">
    <w:name w:val="toc 9"/>
    <w:basedOn w:val="Normal"/>
    <w:next w:val="Normal"/>
    <w:autoRedefine/>
    <w:semiHidden/>
    <w:rsid w:val="00B272BB"/>
    <w:pPr>
      <w:ind w:left="1600"/>
    </w:pPr>
    <w:rPr>
      <w:sz w:val="18"/>
      <w:szCs w:val="18"/>
    </w:rPr>
  </w:style>
  <w:style w:type="paragraph" w:customStyle="1" w:styleId="Titlefigure">
    <w:name w:val="Title_figure"/>
    <w:basedOn w:val="Titletable"/>
    <w:next w:val="NormalNonumber"/>
    <w:rsid w:val="002A5A9A"/>
    <w:rPr>
      <w:bCs w:val="0"/>
    </w:rPr>
  </w:style>
  <w:style w:type="paragraph" w:styleId="TableofFigures">
    <w:name w:val="table of figures"/>
    <w:basedOn w:val="Normal"/>
    <w:next w:val="Normal"/>
    <w:autoRedefine/>
    <w:semiHidden/>
    <w:rsid w:val="00B272BB"/>
    <w:pPr>
      <w:ind w:left="1814" w:hanging="567"/>
    </w:pPr>
  </w:style>
  <w:style w:type="paragraph" w:customStyle="1" w:styleId="CH1">
    <w:name w:val="CH1"/>
    <w:basedOn w:val="Normal-pool"/>
    <w:next w:val="CH2"/>
    <w:rsid w:val="002A5A9A"/>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rsid w:val="002A5A9A"/>
    <w:pPr>
      <w:keepNext/>
      <w:keepLines/>
      <w:tabs>
        <w:tab w:val="right" w:pos="851"/>
      </w:tabs>
      <w:suppressAutoHyphens/>
      <w:spacing w:before="120" w:after="120"/>
      <w:ind w:left="1247" w:right="284" w:hanging="1247"/>
    </w:pPr>
    <w:rPr>
      <w:b/>
      <w:sz w:val="24"/>
      <w:szCs w:val="24"/>
    </w:rPr>
  </w:style>
  <w:style w:type="paragraph" w:customStyle="1" w:styleId="CH3">
    <w:name w:val="CH3"/>
    <w:basedOn w:val="Normal-pool"/>
    <w:next w:val="Normalnumber"/>
    <w:rsid w:val="002A5A9A"/>
    <w:pPr>
      <w:keepNext/>
      <w:keepLines/>
      <w:tabs>
        <w:tab w:val="right" w:pos="851"/>
      </w:tabs>
      <w:suppressAutoHyphens/>
      <w:spacing w:after="120"/>
      <w:ind w:left="1247" w:right="284" w:hanging="1247"/>
    </w:pPr>
    <w:rPr>
      <w:b/>
    </w:rPr>
  </w:style>
  <w:style w:type="paragraph" w:customStyle="1" w:styleId="CH4">
    <w:name w:val="CH4"/>
    <w:basedOn w:val="Normal-pool"/>
    <w:next w:val="Normalnumber"/>
    <w:rsid w:val="002A5A9A"/>
    <w:pPr>
      <w:keepNext/>
      <w:keepLines/>
      <w:tabs>
        <w:tab w:val="right" w:pos="851"/>
      </w:tabs>
      <w:suppressAutoHyphens/>
      <w:spacing w:after="120"/>
      <w:ind w:left="1247" w:right="284" w:hanging="1247"/>
    </w:pPr>
    <w:rPr>
      <w:b/>
    </w:rPr>
  </w:style>
  <w:style w:type="table" w:customStyle="1" w:styleId="Footertable">
    <w:name w:val="Footer_table"/>
    <w:basedOn w:val="TableNormal"/>
    <w:semiHidden/>
    <w:rsid w:val="002A5A9A"/>
    <w:rPr>
      <w:rFonts w:ascii="Arial" w:hAnsi="Arial"/>
      <w:sz w:val="16"/>
    </w:rPr>
    <w:tblPr>
      <w:jc w:val="right"/>
      <w:tblInd w:w="0" w:type="dxa"/>
      <w:tblBorders>
        <w:top w:val="double" w:sz="4" w:space="0" w:color="auto"/>
        <w:left w:val="double" w:sz="4" w:space="0" w:color="auto"/>
        <w:bottom w:val="double" w:sz="4" w:space="0" w:color="auto"/>
        <w:right w:val="double" w:sz="4" w:space="0" w:color="auto"/>
      </w:tblBorders>
      <w:tblCellMar>
        <w:top w:w="0" w:type="dxa"/>
        <w:left w:w="108" w:type="dxa"/>
        <w:bottom w:w="0" w:type="dxa"/>
        <w:right w:w="108" w:type="dxa"/>
      </w:tblCellMar>
    </w:tblPr>
    <w:trPr>
      <w:jc w:val="right"/>
    </w:trPr>
    <w:tcPr>
      <w:tcMar>
        <w:top w:w="28" w:type="dxa"/>
        <w:bottom w:w="28" w:type="dxa"/>
      </w:tcMar>
    </w:tcPr>
  </w:style>
  <w:style w:type="paragraph" w:customStyle="1" w:styleId="CH5">
    <w:name w:val="CH5"/>
    <w:basedOn w:val="Normal"/>
    <w:next w:val="Normalnumber"/>
    <w:semiHidden/>
    <w:rsid w:val="00B272BB"/>
    <w:pPr>
      <w:keepNext/>
      <w:keepLines/>
      <w:tabs>
        <w:tab w:val="right" w:pos="851"/>
      </w:tabs>
      <w:suppressAutoHyphens/>
      <w:spacing w:after="120"/>
      <w:ind w:left="1247" w:right="284" w:hanging="1247"/>
    </w:pPr>
    <w:rPr>
      <w:b/>
    </w:rPr>
  </w:style>
  <w:style w:type="paragraph" w:styleId="NormalIndent">
    <w:name w:val="Normal Indent"/>
    <w:basedOn w:val="Normal"/>
    <w:semiHidden/>
    <w:rsid w:val="00B272BB"/>
    <w:pPr>
      <w:ind w:left="1247"/>
    </w:pPr>
  </w:style>
  <w:style w:type="paragraph" w:customStyle="1" w:styleId="Normal-pool">
    <w:name w:val="Normal-pool"/>
    <w:link w:val="Normal-poolChar"/>
    <w:rsid w:val="002A5A9A"/>
    <w:pPr>
      <w:tabs>
        <w:tab w:val="left" w:pos="1247"/>
        <w:tab w:val="left" w:pos="1814"/>
        <w:tab w:val="left" w:pos="2381"/>
        <w:tab w:val="left" w:pos="2948"/>
        <w:tab w:val="left" w:pos="3515"/>
      </w:tabs>
    </w:pPr>
    <w:rPr>
      <w:lang w:val="en-GB" w:eastAsia="en-US"/>
    </w:rPr>
  </w:style>
  <w:style w:type="table" w:styleId="TableGrid">
    <w:name w:val="Table Grid"/>
    <w:basedOn w:val="TableNormal"/>
    <w:rsid w:val="002A5A9A"/>
    <w:pPr>
      <w:tabs>
        <w:tab w:val="left" w:pos="1247"/>
        <w:tab w:val="left" w:pos="1814"/>
        <w:tab w:val="left" w:pos="2381"/>
        <w:tab w:val="left" w:pos="2948"/>
        <w:tab w:val="left" w:pos="3515"/>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autoRedefine/>
    <w:qFormat/>
    <w:rsid w:val="00B272BB"/>
    <w:pPr>
      <w:spacing w:before="240" w:after="240"/>
      <w:ind w:left="1253" w:right="562"/>
      <w:outlineLvl w:val="0"/>
    </w:pPr>
    <w:rPr>
      <w:b/>
      <w:bCs/>
      <w:kern w:val="28"/>
      <w:sz w:val="28"/>
      <w:szCs w:val="28"/>
    </w:rPr>
  </w:style>
  <w:style w:type="paragraph" w:styleId="BalloonText">
    <w:name w:val="Balloon Text"/>
    <w:basedOn w:val="Normal"/>
    <w:link w:val="BalloonTextChar"/>
    <w:rsid w:val="00B272BB"/>
    <w:rPr>
      <w:rFonts w:ascii="Tahoma" w:hAnsi="Tahoma"/>
      <w:sz w:val="16"/>
      <w:szCs w:val="16"/>
      <w:lang w:val="x-none"/>
    </w:rPr>
  </w:style>
  <w:style w:type="character" w:customStyle="1" w:styleId="BalloonTextChar">
    <w:name w:val="Balloon Text Char"/>
    <w:link w:val="BalloonText"/>
    <w:rsid w:val="009E7191"/>
    <w:rPr>
      <w:rFonts w:ascii="Tahoma" w:eastAsia="Calibri" w:hAnsi="Tahoma" w:cs="Arial"/>
      <w:sz w:val="16"/>
      <w:szCs w:val="16"/>
      <w:lang w:val="x-none"/>
    </w:rPr>
  </w:style>
  <w:style w:type="character" w:styleId="FootnoteReference">
    <w:name w:val="footnote reference"/>
    <w:aliases w:val="16 Point,Superscript 6 Point,ftref,(Ref. de nota al pie),number,SUPERS,Footnote Reference Superscript,Ref,de nota al pie,註腳內容,de nota al pie + (Asian) MS Mincho,Footnote Reference S"/>
    <w:rsid w:val="002A5A9A"/>
    <w:rPr>
      <w:rFonts w:ascii="Times New Roman" w:hAnsi="Times New Roman"/>
      <w:color w:val="auto"/>
      <w:sz w:val="20"/>
      <w:szCs w:val="18"/>
      <w:vertAlign w:val="superscript"/>
    </w:rPr>
  </w:style>
  <w:style w:type="paragraph" w:styleId="FootnoteText">
    <w:name w:val="footnote text"/>
    <w:aliases w:val="Geneva 9,Font: Geneva 9,Boston 10,f,DNV-FT,Footnote01,-E Fußnotentext,ft,Fußnote,Fußnotentext Ursprung,fn,footnote text,Footnotes,Footnote ak,fn cafc,Footnotes Char Char,Footnote Text Char Char,fn Char Char,footnote text Char Char Char Ch"/>
    <w:basedOn w:val="Normal-pool"/>
    <w:link w:val="FootnoteTextChar"/>
    <w:rsid w:val="002A5A9A"/>
    <w:pPr>
      <w:spacing w:before="20" w:after="40"/>
      <w:ind w:left="1247"/>
    </w:pPr>
    <w:rPr>
      <w:sz w:val="18"/>
      <w:lang w:val="x-none"/>
    </w:rPr>
  </w:style>
  <w:style w:type="character" w:styleId="CommentReference">
    <w:name w:val="annotation reference"/>
    <w:rsid w:val="0017454A"/>
    <w:rPr>
      <w:sz w:val="16"/>
      <w:szCs w:val="16"/>
    </w:rPr>
  </w:style>
  <w:style w:type="paragraph" w:styleId="CommentText">
    <w:name w:val="annotation text"/>
    <w:basedOn w:val="Normal"/>
    <w:link w:val="CommentTextChar"/>
    <w:rsid w:val="00B272BB"/>
    <w:rPr>
      <w:lang w:val="x-none"/>
    </w:rPr>
  </w:style>
  <w:style w:type="character" w:customStyle="1" w:styleId="CommentTextChar">
    <w:name w:val="Comment Text Char"/>
    <w:link w:val="CommentText"/>
    <w:rsid w:val="0017454A"/>
    <w:rPr>
      <w:rFonts w:ascii="Calibri" w:eastAsia="Calibri" w:hAnsi="Calibri" w:cs="Arial"/>
      <w:sz w:val="22"/>
      <w:szCs w:val="22"/>
      <w:lang w:val="x-none"/>
    </w:rPr>
  </w:style>
  <w:style w:type="paragraph" w:styleId="CommentSubject">
    <w:name w:val="annotation subject"/>
    <w:basedOn w:val="CommentText"/>
    <w:next w:val="CommentText"/>
    <w:link w:val="CommentSubjectChar"/>
    <w:rsid w:val="00B272BB"/>
    <w:rPr>
      <w:b/>
      <w:bCs/>
    </w:rPr>
  </w:style>
  <w:style w:type="character" w:customStyle="1" w:styleId="CommentSubjectChar">
    <w:name w:val="Comment Subject Char"/>
    <w:link w:val="CommentSubject"/>
    <w:rsid w:val="0017454A"/>
    <w:rPr>
      <w:rFonts w:ascii="Calibri" w:eastAsia="Calibri" w:hAnsi="Calibri" w:cs="Arial"/>
      <w:b/>
      <w:bCs/>
      <w:sz w:val="22"/>
      <w:szCs w:val="22"/>
      <w:lang w:val="x-none"/>
    </w:rPr>
  </w:style>
  <w:style w:type="character" w:customStyle="1" w:styleId="HeaderChar">
    <w:name w:val="Header Char"/>
    <w:link w:val="Header"/>
    <w:uiPriority w:val="99"/>
    <w:rsid w:val="00F872AA"/>
    <w:rPr>
      <w:b/>
      <w:sz w:val="18"/>
      <w:lang w:eastAsia="en-US"/>
    </w:rPr>
  </w:style>
  <w:style w:type="character" w:customStyle="1" w:styleId="FootnoteTextChar">
    <w:name w:val="Footnote Text Char"/>
    <w:aliases w:val="Geneva 9 Char,Font: Geneva 9 Char,Boston 10 Char,f Char,DNV-FT Char,Footnote01 Char,-E Fußnotentext Char,ft Char,Fußnote Char,Fußnotentext Ursprung Char,fn Char,footnote text Char,Footnotes Char,Footnote ak Char,fn cafc Char"/>
    <w:link w:val="FootnoteText"/>
    <w:rsid w:val="00F872AA"/>
    <w:rPr>
      <w:sz w:val="18"/>
      <w:lang w:eastAsia="en-US"/>
    </w:rPr>
  </w:style>
  <w:style w:type="character" w:customStyle="1" w:styleId="NormalnumberChar">
    <w:name w:val="Normal_number Char"/>
    <w:link w:val="Normalnumber"/>
    <w:rsid w:val="006B781E"/>
    <w:rPr>
      <w:lang w:val="x-none" w:eastAsia="x-none"/>
    </w:rPr>
  </w:style>
  <w:style w:type="paragraph" w:styleId="DocumentMap">
    <w:name w:val="Document Map"/>
    <w:basedOn w:val="Normal"/>
    <w:link w:val="DocumentMapChar"/>
    <w:rsid w:val="00B272BB"/>
    <w:rPr>
      <w:rFonts w:ascii="Lucida Grande" w:hAnsi="Lucida Grande"/>
      <w:sz w:val="24"/>
      <w:szCs w:val="24"/>
      <w:lang w:eastAsia="x-none"/>
    </w:rPr>
  </w:style>
  <w:style w:type="character" w:customStyle="1" w:styleId="DocumentMapChar">
    <w:name w:val="Document Map Char"/>
    <w:link w:val="DocumentMap"/>
    <w:rsid w:val="00B22096"/>
    <w:rPr>
      <w:rFonts w:ascii="Lucida Grande" w:eastAsia="Calibri" w:hAnsi="Lucida Grande" w:cs="Arial"/>
      <w:sz w:val="24"/>
      <w:szCs w:val="24"/>
      <w:lang w:eastAsia="x-none"/>
    </w:rPr>
  </w:style>
  <w:style w:type="paragraph" w:customStyle="1" w:styleId="Paralevel1Char">
    <w:name w:val="Para level1 Char"/>
    <w:basedOn w:val="Normal"/>
    <w:rsid w:val="00B272BB"/>
    <w:pPr>
      <w:keepLines/>
      <w:widowControl w:val="0"/>
      <w:numPr>
        <w:numId w:val="4"/>
      </w:numPr>
      <w:spacing w:after="120"/>
    </w:pPr>
    <w:rPr>
      <w:rFonts w:eastAsia="MS Mincho"/>
    </w:rPr>
  </w:style>
  <w:style w:type="character" w:customStyle="1" w:styleId="CH2Char">
    <w:name w:val="CH2 Char"/>
    <w:link w:val="CH2"/>
    <w:locked/>
    <w:rsid w:val="00E619B3"/>
    <w:rPr>
      <w:b/>
      <w:sz w:val="24"/>
      <w:szCs w:val="24"/>
      <w:lang w:eastAsia="en-US"/>
    </w:rPr>
  </w:style>
  <w:style w:type="paragraph" w:customStyle="1" w:styleId="ColorfulShading-Accent11">
    <w:name w:val="Colorful Shading - Accent 11"/>
    <w:hidden/>
    <w:rsid w:val="00F93822"/>
    <w:rPr>
      <w:lang w:val="en-GB" w:eastAsia="en-US"/>
    </w:rPr>
  </w:style>
  <w:style w:type="table" w:customStyle="1" w:styleId="AATable">
    <w:name w:val="AA_Table"/>
    <w:basedOn w:val="TableNormal"/>
    <w:rsid w:val="002A5A9A"/>
    <w:tblPr>
      <w:tblStyleRowBandSize w:val="1"/>
      <w:tblStyleColBandSize w:val="1"/>
      <w:jc w:val="right"/>
      <w:tblInd w:w="0" w:type="dxa"/>
      <w:tblCellMar>
        <w:top w:w="0" w:type="dxa"/>
        <w:left w:w="108" w:type="dxa"/>
        <w:bottom w:w="0" w:type="dxa"/>
        <w:right w:w="108" w:type="dxa"/>
      </w:tblCellMar>
    </w:tblPr>
    <w:trPr>
      <w:jc w:val="right"/>
    </w:trPr>
    <w:tblStylePr w:type="firstRow">
      <w:pPr>
        <w:wordWrap/>
        <w:spacing w:beforeLines="0" w:before="0" w:beforeAutospacing="0" w:afterLines="0" w:after="0" w:afterAutospacing="0"/>
        <w:contextualSpacing w:val="0"/>
        <w:jc w:val="left"/>
      </w:pPr>
      <w:rPr>
        <w:rFonts w:ascii="Courier New" w:hAnsi="Courier New"/>
        <w:b/>
        <w:i w:val="0"/>
        <w:caps/>
        <w:smallCaps w:val="0"/>
        <w:color w:val="auto"/>
        <w:sz w:val="27"/>
        <w:szCs w:val="27"/>
      </w:rPr>
    </w:tblStylePr>
    <w:tblStylePr w:type="lastRow">
      <w:pPr>
        <w:wordWrap/>
        <w:spacing w:beforeLines="0" w:before="120" w:beforeAutospacing="0" w:afterLines="0" w:after="0" w:afterAutospacing="0"/>
        <w:ind w:rightChars="0" w:right="567"/>
        <w:contextualSpacing w:val="0"/>
      </w:pPr>
      <w:rPr>
        <w:rFonts w:ascii="Courier New" w:hAnsi="Courier New"/>
        <w:b/>
        <w:sz w:val="28"/>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Courier New" w:hAnsi="Courier New"/>
        <w:b/>
        <w:i w:val="0"/>
        <w:color w:val="auto"/>
        <w:sz w:val="64"/>
        <w:szCs w:val="64"/>
      </w:rPr>
    </w:tblStylePr>
    <w:tblStylePr w:type="nwCell">
      <w:rPr>
        <w:rFonts w:ascii="Courier New" w:hAnsi="Courier New"/>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240" w:afterAutospacing="0"/>
        <w:ind w:rightChars="0" w:right="0"/>
      </w:pPr>
      <w:rPr>
        <w:rFonts w:ascii="Times New Roman" w:hAnsi="Times New Roman"/>
      </w:rPr>
    </w:tblStylePr>
  </w:style>
  <w:style w:type="paragraph" w:customStyle="1" w:styleId="AATitle">
    <w:name w:val="AA_Title"/>
    <w:basedOn w:val="Normal-pool"/>
    <w:rsid w:val="002A5A9A"/>
    <w:pPr>
      <w:keepNext/>
      <w:keepLines/>
      <w:suppressAutoHyphens/>
      <w:ind w:right="3402"/>
    </w:pPr>
    <w:rPr>
      <w:b/>
    </w:rPr>
  </w:style>
  <w:style w:type="paragraph" w:customStyle="1" w:styleId="AATitle2">
    <w:name w:val="AA_Title2"/>
    <w:basedOn w:val="AATitle"/>
    <w:rsid w:val="002A5A9A"/>
    <w:pPr>
      <w:spacing w:before="120" w:after="120"/>
      <w:ind w:right="1701"/>
    </w:pPr>
  </w:style>
  <w:style w:type="paragraph" w:customStyle="1" w:styleId="BBTitle">
    <w:name w:val="BB_Title"/>
    <w:basedOn w:val="Normal-pool"/>
    <w:rsid w:val="002A5A9A"/>
    <w:pPr>
      <w:keepNext/>
      <w:keepLines/>
      <w:suppressAutoHyphens/>
      <w:spacing w:before="320" w:after="240"/>
      <w:ind w:left="1247" w:right="567"/>
    </w:pPr>
    <w:rPr>
      <w:b/>
      <w:sz w:val="28"/>
      <w:szCs w:val="28"/>
    </w:rPr>
  </w:style>
  <w:style w:type="paragraph" w:styleId="Footer">
    <w:name w:val="footer"/>
    <w:basedOn w:val="Normal-pool"/>
    <w:rsid w:val="002A5A9A"/>
    <w:pPr>
      <w:tabs>
        <w:tab w:val="center" w:pos="4320"/>
        <w:tab w:val="right" w:pos="8640"/>
      </w:tabs>
      <w:spacing w:before="60" w:after="120"/>
    </w:pPr>
    <w:rPr>
      <w:sz w:val="18"/>
    </w:rPr>
  </w:style>
  <w:style w:type="paragraph" w:styleId="Header">
    <w:name w:val="header"/>
    <w:basedOn w:val="Normal-pool"/>
    <w:link w:val="HeaderChar"/>
    <w:uiPriority w:val="99"/>
    <w:rsid w:val="002A5A9A"/>
    <w:pPr>
      <w:pBdr>
        <w:bottom w:val="single" w:sz="4" w:space="1" w:color="auto"/>
      </w:pBdr>
      <w:tabs>
        <w:tab w:val="clear" w:pos="1814"/>
        <w:tab w:val="clear" w:pos="2381"/>
        <w:tab w:val="clear" w:pos="2948"/>
        <w:tab w:val="clear" w:pos="3515"/>
        <w:tab w:val="center" w:pos="4536"/>
        <w:tab w:val="right" w:pos="9072"/>
      </w:tabs>
      <w:spacing w:after="120"/>
    </w:pPr>
    <w:rPr>
      <w:b/>
      <w:sz w:val="18"/>
      <w:lang w:val="x-none"/>
    </w:rPr>
  </w:style>
  <w:style w:type="character" w:styleId="Hyperlink">
    <w:name w:val="Hyperlink"/>
    <w:semiHidden/>
    <w:rsid w:val="002A5A9A"/>
    <w:rPr>
      <w:rFonts w:ascii="Times New Roman" w:hAnsi="Times New Roman"/>
      <w:color w:val="auto"/>
      <w:sz w:val="20"/>
      <w:szCs w:val="20"/>
      <w:u w:val="none"/>
      <w:lang w:val="fr-FR"/>
    </w:rPr>
  </w:style>
  <w:style w:type="numbering" w:customStyle="1" w:styleId="Normallist">
    <w:name w:val="Normal_list"/>
    <w:basedOn w:val="NoList"/>
    <w:rsid w:val="002A5A9A"/>
    <w:pPr>
      <w:numPr>
        <w:numId w:val="3"/>
      </w:numPr>
    </w:pPr>
  </w:style>
  <w:style w:type="paragraph" w:customStyle="1" w:styleId="NormalNonumber">
    <w:name w:val="Normal_No_number"/>
    <w:basedOn w:val="Normal-pool"/>
    <w:autoRedefine/>
    <w:rsid w:val="002A5A9A"/>
    <w:pPr>
      <w:spacing w:after="120"/>
      <w:ind w:left="1247"/>
    </w:pPr>
  </w:style>
  <w:style w:type="paragraph" w:customStyle="1" w:styleId="Normalnumber">
    <w:name w:val="Normal_number"/>
    <w:basedOn w:val="Normal-pool"/>
    <w:link w:val="NormalnumberChar"/>
    <w:rsid w:val="006B781E"/>
    <w:pPr>
      <w:numPr>
        <w:numId w:val="5"/>
      </w:numPr>
      <w:tabs>
        <w:tab w:val="clear" w:pos="1814"/>
        <w:tab w:val="clear" w:pos="2381"/>
        <w:tab w:val="clear" w:pos="2948"/>
        <w:tab w:val="clear" w:pos="3515"/>
        <w:tab w:val="left" w:pos="624"/>
      </w:tabs>
      <w:spacing w:after="120"/>
    </w:pPr>
    <w:rPr>
      <w:lang w:val="x-none" w:eastAsia="x-none"/>
    </w:rPr>
  </w:style>
  <w:style w:type="paragraph" w:customStyle="1" w:styleId="Titletable">
    <w:name w:val="Title_table"/>
    <w:basedOn w:val="Normal-pool"/>
    <w:next w:val="NormalNonumber"/>
    <w:rsid w:val="002A5A9A"/>
    <w:pPr>
      <w:keepNext/>
      <w:keepLines/>
      <w:suppressAutoHyphens/>
      <w:spacing w:after="60"/>
      <w:ind w:left="1247"/>
    </w:pPr>
    <w:rPr>
      <w:b/>
      <w:bCs/>
    </w:rPr>
  </w:style>
  <w:style w:type="paragraph" w:styleId="TOC1">
    <w:name w:val="toc 1"/>
    <w:basedOn w:val="Normal-pool"/>
    <w:next w:val="Normal-pool"/>
    <w:rsid w:val="002A5A9A"/>
    <w:pPr>
      <w:tabs>
        <w:tab w:val="clear" w:pos="2381"/>
        <w:tab w:val="clear" w:pos="2948"/>
        <w:tab w:val="clear" w:pos="3515"/>
        <w:tab w:val="right" w:leader="dot" w:pos="9486"/>
      </w:tabs>
      <w:spacing w:before="240"/>
      <w:ind w:left="1814" w:hanging="567"/>
    </w:pPr>
    <w:rPr>
      <w:bCs/>
    </w:rPr>
  </w:style>
  <w:style w:type="paragraph" w:styleId="TOC2">
    <w:name w:val="toc 2"/>
    <w:basedOn w:val="Normal-pool"/>
    <w:next w:val="Normal-pool"/>
    <w:rsid w:val="002A5A9A"/>
    <w:pPr>
      <w:tabs>
        <w:tab w:val="clear" w:pos="1814"/>
        <w:tab w:val="clear" w:pos="2948"/>
        <w:tab w:val="clear" w:pos="3515"/>
        <w:tab w:val="right" w:leader="dot" w:pos="9486"/>
      </w:tabs>
      <w:ind w:left="2381" w:hanging="567"/>
    </w:pPr>
  </w:style>
  <w:style w:type="paragraph" w:styleId="TOC3">
    <w:name w:val="toc 3"/>
    <w:basedOn w:val="Normal-pool"/>
    <w:next w:val="Normal-pool"/>
    <w:rsid w:val="002A5A9A"/>
    <w:pPr>
      <w:tabs>
        <w:tab w:val="clear" w:pos="1814"/>
        <w:tab w:val="clear" w:pos="2381"/>
        <w:tab w:val="clear" w:pos="2948"/>
        <w:tab w:val="clear" w:pos="3515"/>
        <w:tab w:val="right" w:leader="dot" w:pos="9486"/>
      </w:tabs>
      <w:ind w:left="2948" w:hanging="567"/>
    </w:pPr>
    <w:rPr>
      <w:iCs/>
    </w:rPr>
  </w:style>
  <w:style w:type="paragraph" w:styleId="TOC4">
    <w:name w:val="toc 4"/>
    <w:basedOn w:val="Normal-pool"/>
    <w:next w:val="Normal-pool"/>
    <w:rsid w:val="002A5A9A"/>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B272BB"/>
    <w:pPr>
      <w:ind w:left="800"/>
    </w:pPr>
    <w:rPr>
      <w:sz w:val="18"/>
      <w:szCs w:val="18"/>
    </w:rPr>
  </w:style>
  <w:style w:type="paragraph" w:customStyle="1" w:styleId="ZZAnxheader">
    <w:name w:val="ZZ_Anx_header"/>
    <w:basedOn w:val="Normal-pool"/>
    <w:rsid w:val="002A5A9A"/>
    <w:rPr>
      <w:b/>
      <w:bCs/>
      <w:sz w:val="28"/>
      <w:szCs w:val="22"/>
    </w:rPr>
  </w:style>
  <w:style w:type="paragraph" w:customStyle="1" w:styleId="ZZAnxtitle">
    <w:name w:val="ZZ_Anx_title"/>
    <w:basedOn w:val="Normal-pool"/>
    <w:rsid w:val="002A5A9A"/>
    <w:pPr>
      <w:spacing w:before="360" w:after="120"/>
      <w:ind w:left="1247"/>
    </w:pPr>
    <w:rPr>
      <w:b/>
      <w:bCs/>
      <w:sz w:val="28"/>
      <w:szCs w:val="26"/>
    </w:rPr>
  </w:style>
  <w:style w:type="paragraph" w:customStyle="1" w:styleId="Bullets">
    <w:name w:val="Bullets"/>
    <w:basedOn w:val="Normal"/>
    <w:rsid w:val="00561CF4"/>
    <w:pPr>
      <w:numPr>
        <w:numId w:val="6"/>
      </w:numPr>
      <w:spacing w:after="0" w:line="240" w:lineRule="auto"/>
    </w:pPr>
    <w:rPr>
      <w:rFonts w:ascii="Cambria" w:eastAsia="Cambria" w:hAnsi="Cambria"/>
      <w:sz w:val="24"/>
      <w:szCs w:val="24"/>
      <w:lang w:val="en-GB"/>
    </w:rPr>
  </w:style>
  <w:style w:type="character" w:customStyle="1" w:styleId="Normal-poolChar">
    <w:name w:val="Normal-pool Char"/>
    <w:link w:val="Normal-pool"/>
    <w:rsid w:val="00214CED"/>
    <w:rPr>
      <w:lang w:val="en-GB"/>
    </w:rPr>
  </w:style>
  <w:style w:type="character" w:styleId="Strong">
    <w:name w:val="Strong"/>
    <w:uiPriority w:val="22"/>
    <w:qFormat/>
    <w:rsid w:val="00F050CD"/>
    <w:rPr>
      <w:b/>
      <w:bCs/>
    </w:rPr>
  </w:style>
  <w:style w:type="paragraph" w:styleId="Revision">
    <w:name w:val="Revision"/>
    <w:hidden/>
    <w:rsid w:val="00CE7948"/>
    <w:rPr>
      <w:rFonts w:ascii="Calibri" w:eastAsia="Calibri" w:hAnsi="Calibri"/>
      <w:sz w:val="22"/>
      <w:szCs w:val="22"/>
      <w:lang w:val="es-ES_tradnl" w:eastAsia="en-US"/>
    </w:rPr>
  </w:style>
  <w:style w:type="paragraph" w:styleId="TOCHeading">
    <w:name w:val="TOC Heading"/>
    <w:basedOn w:val="Heading1"/>
    <w:next w:val="Normal"/>
    <w:semiHidden/>
    <w:unhideWhenUsed/>
    <w:qFormat/>
    <w:rsid w:val="00687CDC"/>
    <w:pPr>
      <w:keepLines/>
      <w:spacing w:before="480" w:after="0"/>
      <w:ind w:left="0" w:firstLine="0"/>
      <w:outlineLvl w:val="9"/>
    </w:pPr>
    <w:rPr>
      <w:rFonts w:asciiTheme="majorHAnsi" w:eastAsiaTheme="majorEastAsia" w:hAnsiTheme="majorHAnsi" w:cstheme="majorBidi"/>
      <w:bCs/>
      <w:color w:val="365F91" w:themeColor="accent1"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6204">
      <w:bodyDiv w:val="1"/>
      <w:marLeft w:val="0"/>
      <w:marRight w:val="0"/>
      <w:marTop w:val="0"/>
      <w:marBottom w:val="0"/>
      <w:divBdr>
        <w:top w:val="none" w:sz="0" w:space="0" w:color="auto"/>
        <w:left w:val="none" w:sz="0" w:space="0" w:color="auto"/>
        <w:bottom w:val="none" w:sz="0" w:space="0" w:color="auto"/>
        <w:right w:val="none" w:sz="0" w:space="0" w:color="auto"/>
      </w:divBdr>
    </w:div>
    <w:div w:id="26178132">
      <w:bodyDiv w:val="1"/>
      <w:marLeft w:val="0"/>
      <w:marRight w:val="0"/>
      <w:marTop w:val="0"/>
      <w:marBottom w:val="0"/>
      <w:divBdr>
        <w:top w:val="none" w:sz="0" w:space="0" w:color="auto"/>
        <w:left w:val="none" w:sz="0" w:space="0" w:color="auto"/>
        <w:bottom w:val="none" w:sz="0" w:space="0" w:color="auto"/>
        <w:right w:val="none" w:sz="0" w:space="0" w:color="auto"/>
      </w:divBdr>
    </w:div>
    <w:div w:id="72169557">
      <w:bodyDiv w:val="1"/>
      <w:marLeft w:val="0"/>
      <w:marRight w:val="0"/>
      <w:marTop w:val="0"/>
      <w:marBottom w:val="0"/>
      <w:divBdr>
        <w:top w:val="none" w:sz="0" w:space="0" w:color="auto"/>
        <w:left w:val="none" w:sz="0" w:space="0" w:color="auto"/>
        <w:bottom w:val="none" w:sz="0" w:space="0" w:color="auto"/>
        <w:right w:val="none" w:sz="0" w:space="0" w:color="auto"/>
      </w:divBdr>
    </w:div>
    <w:div w:id="77017554">
      <w:bodyDiv w:val="1"/>
      <w:marLeft w:val="0"/>
      <w:marRight w:val="0"/>
      <w:marTop w:val="0"/>
      <w:marBottom w:val="0"/>
      <w:divBdr>
        <w:top w:val="none" w:sz="0" w:space="0" w:color="auto"/>
        <w:left w:val="none" w:sz="0" w:space="0" w:color="auto"/>
        <w:bottom w:val="none" w:sz="0" w:space="0" w:color="auto"/>
        <w:right w:val="none" w:sz="0" w:space="0" w:color="auto"/>
      </w:divBdr>
    </w:div>
    <w:div w:id="140929315">
      <w:bodyDiv w:val="1"/>
      <w:marLeft w:val="0"/>
      <w:marRight w:val="0"/>
      <w:marTop w:val="0"/>
      <w:marBottom w:val="0"/>
      <w:divBdr>
        <w:top w:val="none" w:sz="0" w:space="0" w:color="auto"/>
        <w:left w:val="none" w:sz="0" w:space="0" w:color="auto"/>
        <w:bottom w:val="none" w:sz="0" w:space="0" w:color="auto"/>
        <w:right w:val="none" w:sz="0" w:space="0" w:color="auto"/>
      </w:divBdr>
    </w:div>
    <w:div w:id="198930616">
      <w:bodyDiv w:val="1"/>
      <w:marLeft w:val="0"/>
      <w:marRight w:val="0"/>
      <w:marTop w:val="0"/>
      <w:marBottom w:val="0"/>
      <w:divBdr>
        <w:top w:val="none" w:sz="0" w:space="0" w:color="auto"/>
        <w:left w:val="none" w:sz="0" w:space="0" w:color="auto"/>
        <w:bottom w:val="none" w:sz="0" w:space="0" w:color="auto"/>
        <w:right w:val="none" w:sz="0" w:space="0" w:color="auto"/>
      </w:divBdr>
    </w:div>
    <w:div w:id="394007513">
      <w:bodyDiv w:val="1"/>
      <w:marLeft w:val="0"/>
      <w:marRight w:val="0"/>
      <w:marTop w:val="0"/>
      <w:marBottom w:val="0"/>
      <w:divBdr>
        <w:top w:val="none" w:sz="0" w:space="0" w:color="auto"/>
        <w:left w:val="none" w:sz="0" w:space="0" w:color="auto"/>
        <w:bottom w:val="none" w:sz="0" w:space="0" w:color="auto"/>
        <w:right w:val="none" w:sz="0" w:space="0" w:color="auto"/>
      </w:divBdr>
    </w:div>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409278351">
      <w:bodyDiv w:val="1"/>
      <w:marLeft w:val="0"/>
      <w:marRight w:val="0"/>
      <w:marTop w:val="0"/>
      <w:marBottom w:val="0"/>
      <w:divBdr>
        <w:top w:val="none" w:sz="0" w:space="0" w:color="auto"/>
        <w:left w:val="none" w:sz="0" w:space="0" w:color="auto"/>
        <w:bottom w:val="none" w:sz="0" w:space="0" w:color="auto"/>
        <w:right w:val="none" w:sz="0" w:space="0" w:color="auto"/>
      </w:divBdr>
    </w:div>
    <w:div w:id="431365436">
      <w:bodyDiv w:val="1"/>
      <w:marLeft w:val="0"/>
      <w:marRight w:val="0"/>
      <w:marTop w:val="0"/>
      <w:marBottom w:val="0"/>
      <w:divBdr>
        <w:top w:val="none" w:sz="0" w:space="0" w:color="auto"/>
        <w:left w:val="none" w:sz="0" w:space="0" w:color="auto"/>
        <w:bottom w:val="none" w:sz="0" w:space="0" w:color="auto"/>
        <w:right w:val="none" w:sz="0" w:space="0" w:color="auto"/>
      </w:divBdr>
    </w:div>
    <w:div w:id="454062340">
      <w:bodyDiv w:val="1"/>
      <w:marLeft w:val="0"/>
      <w:marRight w:val="0"/>
      <w:marTop w:val="0"/>
      <w:marBottom w:val="0"/>
      <w:divBdr>
        <w:top w:val="none" w:sz="0" w:space="0" w:color="auto"/>
        <w:left w:val="none" w:sz="0" w:space="0" w:color="auto"/>
        <w:bottom w:val="none" w:sz="0" w:space="0" w:color="auto"/>
        <w:right w:val="none" w:sz="0" w:space="0" w:color="auto"/>
      </w:divBdr>
    </w:div>
    <w:div w:id="457114870">
      <w:bodyDiv w:val="1"/>
      <w:marLeft w:val="0"/>
      <w:marRight w:val="0"/>
      <w:marTop w:val="0"/>
      <w:marBottom w:val="0"/>
      <w:divBdr>
        <w:top w:val="none" w:sz="0" w:space="0" w:color="auto"/>
        <w:left w:val="none" w:sz="0" w:space="0" w:color="auto"/>
        <w:bottom w:val="none" w:sz="0" w:space="0" w:color="auto"/>
        <w:right w:val="none" w:sz="0" w:space="0" w:color="auto"/>
      </w:divBdr>
    </w:div>
    <w:div w:id="471556294">
      <w:bodyDiv w:val="1"/>
      <w:marLeft w:val="0"/>
      <w:marRight w:val="0"/>
      <w:marTop w:val="0"/>
      <w:marBottom w:val="0"/>
      <w:divBdr>
        <w:top w:val="none" w:sz="0" w:space="0" w:color="auto"/>
        <w:left w:val="none" w:sz="0" w:space="0" w:color="auto"/>
        <w:bottom w:val="none" w:sz="0" w:space="0" w:color="auto"/>
        <w:right w:val="none" w:sz="0" w:space="0" w:color="auto"/>
      </w:divBdr>
    </w:div>
    <w:div w:id="474613179">
      <w:bodyDiv w:val="1"/>
      <w:marLeft w:val="0"/>
      <w:marRight w:val="0"/>
      <w:marTop w:val="0"/>
      <w:marBottom w:val="0"/>
      <w:divBdr>
        <w:top w:val="none" w:sz="0" w:space="0" w:color="auto"/>
        <w:left w:val="none" w:sz="0" w:space="0" w:color="auto"/>
        <w:bottom w:val="none" w:sz="0" w:space="0" w:color="auto"/>
        <w:right w:val="none" w:sz="0" w:space="0" w:color="auto"/>
      </w:divBdr>
    </w:div>
    <w:div w:id="691957800">
      <w:bodyDiv w:val="1"/>
      <w:marLeft w:val="0"/>
      <w:marRight w:val="0"/>
      <w:marTop w:val="0"/>
      <w:marBottom w:val="0"/>
      <w:divBdr>
        <w:top w:val="none" w:sz="0" w:space="0" w:color="auto"/>
        <w:left w:val="none" w:sz="0" w:space="0" w:color="auto"/>
        <w:bottom w:val="none" w:sz="0" w:space="0" w:color="auto"/>
        <w:right w:val="none" w:sz="0" w:space="0" w:color="auto"/>
      </w:divBdr>
    </w:div>
    <w:div w:id="932251191">
      <w:bodyDiv w:val="1"/>
      <w:marLeft w:val="0"/>
      <w:marRight w:val="0"/>
      <w:marTop w:val="0"/>
      <w:marBottom w:val="0"/>
      <w:divBdr>
        <w:top w:val="none" w:sz="0" w:space="0" w:color="auto"/>
        <w:left w:val="none" w:sz="0" w:space="0" w:color="auto"/>
        <w:bottom w:val="none" w:sz="0" w:space="0" w:color="auto"/>
        <w:right w:val="none" w:sz="0" w:space="0" w:color="auto"/>
      </w:divBdr>
    </w:div>
    <w:div w:id="1053505367">
      <w:bodyDiv w:val="1"/>
      <w:marLeft w:val="0"/>
      <w:marRight w:val="0"/>
      <w:marTop w:val="0"/>
      <w:marBottom w:val="0"/>
      <w:divBdr>
        <w:top w:val="none" w:sz="0" w:space="0" w:color="auto"/>
        <w:left w:val="none" w:sz="0" w:space="0" w:color="auto"/>
        <w:bottom w:val="none" w:sz="0" w:space="0" w:color="auto"/>
        <w:right w:val="none" w:sz="0" w:space="0" w:color="auto"/>
      </w:divBdr>
    </w:div>
    <w:div w:id="1070929478">
      <w:bodyDiv w:val="1"/>
      <w:marLeft w:val="0"/>
      <w:marRight w:val="0"/>
      <w:marTop w:val="0"/>
      <w:marBottom w:val="0"/>
      <w:divBdr>
        <w:top w:val="none" w:sz="0" w:space="0" w:color="auto"/>
        <w:left w:val="none" w:sz="0" w:space="0" w:color="auto"/>
        <w:bottom w:val="none" w:sz="0" w:space="0" w:color="auto"/>
        <w:right w:val="none" w:sz="0" w:space="0" w:color="auto"/>
      </w:divBdr>
    </w:div>
    <w:div w:id="1165125160">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196579751">
      <w:bodyDiv w:val="1"/>
      <w:marLeft w:val="0"/>
      <w:marRight w:val="0"/>
      <w:marTop w:val="0"/>
      <w:marBottom w:val="0"/>
      <w:divBdr>
        <w:top w:val="none" w:sz="0" w:space="0" w:color="auto"/>
        <w:left w:val="none" w:sz="0" w:space="0" w:color="auto"/>
        <w:bottom w:val="none" w:sz="0" w:space="0" w:color="auto"/>
        <w:right w:val="none" w:sz="0" w:space="0" w:color="auto"/>
      </w:divBdr>
    </w:div>
    <w:div w:id="1214193862">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333876962">
      <w:bodyDiv w:val="1"/>
      <w:marLeft w:val="0"/>
      <w:marRight w:val="0"/>
      <w:marTop w:val="0"/>
      <w:marBottom w:val="0"/>
      <w:divBdr>
        <w:top w:val="none" w:sz="0" w:space="0" w:color="auto"/>
        <w:left w:val="none" w:sz="0" w:space="0" w:color="auto"/>
        <w:bottom w:val="none" w:sz="0" w:space="0" w:color="auto"/>
        <w:right w:val="none" w:sz="0" w:space="0" w:color="auto"/>
      </w:divBdr>
    </w:div>
    <w:div w:id="1404376870">
      <w:bodyDiv w:val="1"/>
      <w:marLeft w:val="0"/>
      <w:marRight w:val="0"/>
      <w:marTop w:val="0"/>
      <w:marBottom w:val="0"/>
      <w:divBdr>
        <w:top w:val="none" w:sz="0" w:space="0" w:color="auto"/>
        <w:left w:val="none" w:sz="0" w:space="0" w:color="auto"/>
        <w:bottom w:val="none" w:sz="0" w:space="0" w:color="auto"/>
        <w:right w:val="none" w:sz="0" w:space="0" w:color="auto"/>
      </w:divBdr>
    </w:div>
    <w:div w:id="1418358139">
      <w:bodyDiv w:val="1"/>
      <w:marLeft w:val="0"/>
      <w:marRight w:val="0"/>
      <w:marTop w:val="0"/>
      <w:marBottom w:val="0"/>
      <w:divBdr>
        <w:top w:val="none" w:sz="0" w:space="0" w:color="auto"/>
        <w:left w:val="none" w:sz="0" w:space="0" w:color="auto"/>
        <w:bottom w:val="none" w:sz="0" w:space="0" w:color="auto"/>
        <w:right w:val="none" w:sz="0" w:space="0" w:color="auto"/>
      </w:divBdr>
    </w:div>
    <w:div w:id="1550460073">
      <w:bodyDiv w:val="1"/>
      <w:marLeft w:val="0"/>
      <w:marRight w:val="0"/>
      <w:marTop w:val="0"/>
      <w:marBottom w:val="0"/>
      <w:divBdr>
        <w:top w:val="none" w:sz="0" w:space="0" w:color="auto"/>
        <w:left w:val="none" w:sz="0" w:space="0" w:color="auto"/>
        <w:bottom w:val="none" w:sz="0" w:space="0" w:color="auto"/>
        <w:right w:val="none" w:sz="0" w:space="0" w:color="auto"/>
      </w:divBdr>
    </w:div>
    <w:div w:id="1603221052">
      <w:bodyDiv w:val="1"/>
      <w:marLeft w:val="0"/>
      <w:marRight w:val="0"/>
      <w:marTop w:val="0"/>
      <w:marBottom w:val="0"/>
      <w:divBdr>
        <w:top w:val="none" w:sz="0" w:space="0" w:color="auto"/>
        <w:left w:val="none" w:sz="0" w:space="0" w:color="auto"/>
        <w:bottom w:val="none" w:sz="0" w:space="0" w:color="auto"/>
        <w:right w:val="none" w:sz="0" w:space="0" w:color="auto"/>
      </w:divBdr>
    </w:div>
    <w:div w:id="1685278249">
      <w:bodyDiv w:val="1"/>
      <w:marLeft w:val="0"/>
      <w:marRight w:val="0"/>
      <w:marTop w:val="0"/>
      <w:marBottom w:val="0"/>
      <w:divBdr>
        <w:top w:val="none" w:sz="0" w:space="0" w:color="auto"/>
        <w:left w:val="none" w:sz="0" w:space="0" w:color="auto"/>
        <w:bottom w:val="none" w:sz="0" w:space="0" w:color="auto"/>
        <w:right w:val="none" w:sz="0" w:space="0" w:color="auto"/>
      </w:divBdr>
    </w:div>
    <w:div w:id="1739744541">
      <w:bodyDiv w:val="1"/>
      <w:marLeft w:val="0"/>
      <w:marRight w:val="0"/>
      <w:marTop w:val="0"/>
      <w:marBottom w:val="0"/>
      <w:divBdr>
        <w:top w:val="none" w:sz="0" w:space="0" w:color="auto"/>
        <w:left w:val="none" w:sz="0" w:space="0" w:color="auto"/>
        <w:bottom w:val="none" w:sz="0" w:space="0" w:color="auto"/>
        <w:right w:val="none" w:sz="0" w:space="0" w:color="auto"/>
      </w:divBdr>
    </w:div>
    <w:div w:id="1759133421">
      <w:bodyDiv w:val="1"/>
      <w:marLeft w:val="0"/>
      <w:marRight w:val="0"/>
      <w:marTop w:val="0"/>
      <w:marBottom w:val="0"/>
      <w:divBdr>
        <w:top w:val="none" w:sz="0" w:space="0" w:color="auto"/>
        <w:left w:val="none" w:sz="0" w:space="0" w:color="auto"/>
        <w:bottom w:val="none" w:sz="0" w:space="0" w:color="auto"/>
        <w:right w:val="none" w:sz="0" w:space="0" w:color="auto"/>
      </w:divBdr>
    </w:div>
    <w:div w:id="1763913593">
      <w:bodyDiv w:val="1"/>
      <w:marLeft w:val="0"/>
      <w:marRight w:val="0"/>
      <w:marTop w:val="0"/>
      <w:marBottom w:val="0"/>
      <w:divBdr>
        <w:top w:val="none" w:sz="0" w:space="0" w:color="auto"/>
        <w:left w:val="none" w:sz="0" w:space="0" w:color="auto"/>
        <w:bottom w:val="none" w:sz="0" w:space="0" w:color="auto"/>
        <w:right w:val="none" w:sz="0" w:space="0" w:color="auto"/>
      </w:divBdr>
    </w:div>
    <w:div w:id="1807892608">
      <w:bodyDiv w:val="1"/>
      <w:marLeft w:val="0"/>
      <w:marRight w:val="0"/>
      <w:marTop w:val="0"/>
      <w:marBottom w:val="0"/>
      <w:divBdr>
        <w:top w:val="none" w:sz="0" w:space="0" w:color="auto"/>
        <w:left w:val="none" w:sz="0" w:space="0" w:color="auto"/>
        <w:bottom w:val="none" w:sz="0" w:space="0" w:color="auto"/>
        <w:right w:val="none" w:sz="0" w:space="0" w:color="auto"/>
      </w:divBdr>
    </w:div>
    <w:div w:id="1836263930">
      <w:bodyDiv w:val="1"/>
      <w:marLeft w:val="0"/>
      <w:marRight w:val="0"/>
      <w:marTop w:val="0"/>
      <w:marBottom w:val="0"/>
      <w:divBdr>
        <w:top w:val="none" w:sz="0" w:space="0" w:color="auto"/>
        <w:left w:val="none" w:sz="0" w:space="0" w:color="auto"/>
        <w:bottom w:val="none" w:sz="0" w:space="0" w:color="auto"/>
        <w:right w:val="none" w:sz="0" w:space="0" w:color="auto"/>
      </w:divBdr>
    </w:div>
    <w:div w:id="2062821288">
      <w:bodyDiv w:val="1"/>
      <w:marLeft w:val="0"/>
      <w:marRight w:val="0"/>
      <w:marTop w:val="0"/>
      <w:marBottom w:val="0"/>
      <w:divBdr>
        <w:top w:val="none" w:sz="0" w:space="0" w:color="auto"/>
        <w:left w:val="none" w:sz="0" w:space="0" w:color="auto"/>
        <w:bottom w:val="none" w:sz="0" w:space="0" w:color="auto"/>
        <w:right w:val="none" w:sz="0" w:space="0" w:color="auto"/>
      </w:divBdr>
    </w:div>
    <w:div w:id="2080637313">
      <w:bodyDiv w:val="1"/>
      <w:marLeft w:val="0"/>
      <w:marRight w:val="0"/>
      <w:marTop w:val="0"/>
      <w:marBottom w:val="0"/>
      <w:divBdr>
        <w:top w:val="none" w:sz="0" w:space="0" w:color="auto"/>
        <w:left w:val="none" w:sz="0" w:space="0" w:color="auto"/>
        <w:bottom w:val="none" w:sz="0" w:space="0" w:color="auto"/>
        <w:right w:val="none" w:sz="0" w:space="0" w:color="auto"/>
      </w:divBdr>
    </w:div>
    <w:div w:id="209828074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90243-6C06-4609-B787-698F8347E289}">
  <ds:schemaRefs>
    <ds:schemaRef ds:uri="http://schemas.openxmlformats.org/officeDocument/2006/bibliography"/>
  </ds:schemaRefs>
</ds:datastoreItem>
</file>

<file path=customXml/itemProps2.xml><?xml version="1.0" encoding="utf-8"?>
<ds:datastoreItem xmlns:ds="http://schemas.openxmlformats.org/officeDocument/2006/customXml" ds:itemID="{8C7F236F-E947-4A35-B659-DE8C7252F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5834</Words>
  <Characters>33257</Characters>
  <Application>Microsoft Office Word</Application>
  <DocSecurity>0</DocSecurity>
  <Lines>277</Lines>
  <Paragraphs>78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NATIONS UNIES</vt:lpstr>
      <vt:lpstr>NATIONS UNIES</vt:lpstr>
    </vt:vector>
  </TitlesOfParts>
  <Company>unon</Company>
  <LinksUpToDate>false</LinksUpToDate>
  <CharactersWithSpaces>39013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NATIONS UNIES</dc:title>
  <dc:creator>nikki criticos</dc:creator>
  <cp:lastModifiedBy>Jimena Vallejo</cp:lastModifiedBy>
  <cp:revision>2</cp:revision>
  <cp:lastPrinted>2015-07-20T10:44:00Z</cp:lastPrinted>
  <dcterms:created xsi:type="dcterms:W3CDTF">2015-09-03T09:26:00Z</dcterms:created>
  <dcterms:modified xsi:type="dcterms:W3CDTF">2015-09-03T09:26:00Z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With">
    <vt:lpwstr>Mercury</vt:lpwstr>
  </property>
  <property fmtid="{D5CDD505-2E9C-101B-9397-08002B2CF9AE}" pid="3" name="GeneratedBy">
    <vt:lpwstr>jimena.blanco fueyo</vt:lpwstr>
  </property>
  <property fmtid="{D5CDD505-2E9C-101B-9397-08002B2CF9AE}" pid="4" name="GeneratedDate">
    <vt:lpwstr>7/23/2015 3:30:46 AM</vt:lpwstr>
  </property>
  <property fmtid="{D5CDD505-2E9C-101B-9397-08002B2CF9AE}" pid="5" name="OriginalDocID">
    <vt:lpwstr>8b407463-fa50-4e72-bcac-fca799fee24c</vt:lpwstr>
  </property>
</Properties>
</file>